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E68" w:rsidRPr="00214E68" w:rsidRDefault="00214E68" w:rsidP="00214E68">
      <w:pPr>
        <w:rPr>
          <w:b/>
        </w:rPr>
      </w:pPr>
      <w:r w:rsidRPr="00214E68">
        <w:rPr>
          <w:b/>
        </w:rPr>
        <w:t xml:space="preserve">ÚVOD </w:t>
      </w:r>
    </w:p>
    <w:p w:rsidR="00214E68" w:rsidRDefault="00214E68" w:rsidP="00214E68"/>
    <w:p w:rsidR="00214E68" w:rsidRDefault="00214E68" w:rsidP="00214E68">
      <w:r>
        <w:tab/>
        <w:t xml:space="preserve">Dálkový průzkum Země (DPZ) je podstatným zdrojem informací o mnoha jevech, které se dějí na Zemi. Tato metoda se dá využít v oblastech, jako je například meteorologie, hydrologie, urbanismus, monitorování vegetace a v mnoha dalších. Výhodou oproti pozemnímu získávání informací je zachycení velkého území v jeden časový okamžik. Díky dlouhodobému pořizování dat je možné sestavovat časové řady a sledovat změny v dané lokalitě. </w:t>
      </w:r>
    </w:p>
    <w:p w:rsidR="00214E68" w:rsidRDefault="00214E68" w:rsidP="00214E68">
      <w:r>
        <w:tab/>
        <w:t xml:space="preserve">Z dat získaných pomocí </w:t>
      </w:r>
      <w:proofErr w:type="gramStart"/>
      <w:r>
        <w:t>DPZ  je</w:t>
      </w:r>
      <w:proofErr w:type="gramEnd"/>
      <w:r>
        <w:t xml:space="preserve"> možné vytvářet mapy zobrazující Land </w:t>
      </w:r>
      <w:proofErr w:type="spellStart"/>
      <w:r>
        <w:t>Cover</w:t>
      </w:r>
      <w:proofErr w:type="spellEnd"/>
      <w:r>
        <w:t xml:space="preserve"> a Land Use. Jednotlivé druhy krajinného pokryvu se na multispektrálních snímcích dají odlišit díky svým odlišným spektrálním vlastnostem. Lze tak u lesních porostů zkoumat jak druhovou skladbu, tak i jejich zdravotní stav. Sledováním lesů se zabývá evropský systém </w:t>
      </w:r>
      <w:proofErr w:type="spellStart"/>
      <w:r>
        <w:t>Copernicus</w:t>
      </w:r>
      <w:proofErr w:type="spellEnd"/>
      <w:r>
        <w:t xml:space="preserve">, který využívá data k monitoringu souše, moře, atmosféry, ke krizovým řízením, k udržení bezpečnosti a ke sledování změn klimatu.  Své výzkumné středisko má také Evropská komise, která se v oblasti nezabývá pouze druhovou skladbou lesů, ale také sledováním výskytu požárů a antropogenními vlivy na lesy.   </w:t>
      </w:r>
    </w:p>
    <w:p w:rsidR="00214E68" w:rsidRDefault="00214E68" w:rsidP="00214E68">
      <w:r>
        <w:tab/>
        <w:t xml:space="preserve">Cílem této bakalářské práce bylo sledování změn lesních porostů v Chráněné krajinné oblasti Moravský kras (CHKO Moravský kras) pomocí DPZ mezi lety 1983 a 2015. K vypracování byly použity snímky z družice </w:t>
      </w:r>
      <w:proofErr w:type="spellStart"/>
      <w:r>
        <w:t>Landsat</w:t>
      </w:r>
      <w:proofErr w:type="spellEnd"/>
      <w:r>
        <w:t xml:space="preserve"> 4 z roku 1983, </w:t>
      </w:r>
      <w:proofErr w:type="spellStart"/>
      <w:r>
        <w:t>Landsat</w:t>
      </w:r>
      <w:proofErr w:type="spellEnd"/>
      <w:r>
        <w:t xml:space="preserve"> 7 z roku 2000 a </w:t>
      </w:r>
      <w:proofErr w:type="spellStart"/>
      <w:r>
        <w:t>Landsat</w:t>
      </w:r>
      <w:proofErr w:type="spellEnd"/>
      <w:r>
        <w:t xml:space="preserve"> 8 z roku 2015. Z těchto snímků byla vytvořena mapová kompozice krajinného pokryvu pomocí řízené klasifikace. Z těchto klasifikací byla vytvořena mapa časových změn. Změny byly zachyceny také pomocí normalizovaného diferenčního vegetačního indexu, transformace </w:t>
      </w:r>
      <w:proofErr w:type="spellStart"/>
      <w:r>
        <w:t>Tasseled</w:t>
      </w:r>
      <w:proofErr w:type="spellEnd"/>
      <w:r>
        <w:t xml:space="preserve"> Cap a </w:t>
      </w:r>
      <w:proofErr w:type="spellStart"/>
      <w:r>
        <w:t>Forest</w:t>
      </w:r>
      <w:proofErr w:type="spellEnd"/>
      <w:r>
        <w:t xml:space="preserve"> Indexu. Výsledné klasifikace byly porovnány s mapovou vrstvou </w:t>
      </w:r>
      <w:proofErr w:type="spellStart"/>
      <w:r>
        <w:t>Forest</w:t>
      </w:r>
      <w:proofErr w:type="spellEnd"/>
      <w:r>
        <w:t xml:space="preserve"> Type 2006 vytvořenou Evropskou komisí a s vrstvou </w:t>
      </w:r>
      <w:proofErr w:type="spellStart"/>
      <w:r>
        <w:t>Forest</w:t>
      </w:r>
      <w:proofErr w:type="spellEnd"/>
      <w:r>
        <w:t xml:space="preserve"> Type 2012 od společnosti </w:t>
      </w:r>
      <w:proofErr w:type="spellStart"/>
      <w:r>
        <w:t>Copernicus</w:t>
      </w:r>
      <w:proofErr w:type="spellEnd"/>
      <w:r>
        <w:t xml:space="preserve">. Dále byly znázorněny rozdíly oproti databázi CORINE Land </w:t>
      </w:r>
      <w:proofErr w:type="spellStart"/>
      <w:r>
        <w:t>Cover</w:t>
      </w:r>
      <w:proofErr w:type="spellEnd"/>
      <w:r>
        <w:t xml:space="preserve">, lesním hospodářským plánům (LHP) a vlastnímu terénnímu šetření. </w:t>
      </w:r>
    </w:p>
    <w:p w:rsidR="00214E68" w:rsidRDefault="00214E68" w:rsidP="00214E68"/>
    <w:p w:rsidR="00214E68" w:rsidRPr="00214E68" w:rsidRDefault="00214E68" w:rsidP="00214E68">
      <w:pPr>
        <w:rPr>
          <w:b/>
        </w:rPr>
      </w:pPr>
      <w:r w:rsidRPr="00214E68">
        <w:rPr>
          <w:b/>
        </w:rPr>
        <w:t>Charakteristika území</w:t>
      </w:r>
    </w:p>
    <w:p w:rsidR="00214E68" w:rsidRDefault="00214E68" w:rsidP="00214E68"/>
    <w:p w:rsidR="00214E68" w:rsidRDefault="00214E68" w:rsidP="00214E68">
      <w:r>
        <w:tab/>
        <w:t xml:space="preserve">Moravský kras byl vyhlášen chráněnou krajinou oblastí roku 1956 a jeho rozloha činí 92 km2. Moravský kras je nejrozsáhlejším a nejvíce zkrasovělým územím České republiky. Nachází se v severní části Jihomoravského kraje (obr. 1). Na území Moravského krasu se nachází přes 1 100 jeskyní. Díky geologickému podkladu, členitému terénu a poloze na rozhraní panonské a hercynské oblasti se zde vyskytuje mnoho specifických rostlinných i živočišných společenstev. Lesy s převážně přirozenou druhovou skladbou pokrývají téměř 60 % území </w:t>
      </w:r>
      <w:r w:rsidR="00202E60">
        <w:t>[1]</w:t>
      </w:r>
      <w:r>
        <w:t xml:space="preserve">. </w:t>
      </w:r>
    </w:p>
    <w:p w:rsidR="00214E68" w:rsidRDefault="00214E68" w:rsidP="00214E68">
      <w:r>
        <w:lastRenderedPageBreak/>
        <w:t xml:space="preserve"> </w:t>
      </w:r>
      <w:r w:rsidRPr="00133A86">
        <w:rPr>
          <w:noProof/>
          <w:lang w:eastAsia="cs-CZ"/>
        </w:rPr>
        <w:drawing>
          <wp:inline distT="0" distB="0" distL="0" distR="0">
            <wp:extent cx="4067175" cy="3086100"/>
            <wp:effectExtent l="0" t="0" r="0" b="0"/>
            <wp:docPr id="12" name="Obrázek 1" descr="CH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HKO.png"/>
                    <pic:cNvPicPr>
                      <a:picLocks noChangeAspect="1" noChangeArrowheads="1"/>
                    </pic:cNvPicPr>
                  </pic:nvPicPr>
                  <pic:blipFill>
                    <a:blip r:embed="rId5">
                      <a:extLst>
                        <a:ext uri="{28A0092B-C50C-407E-A947-70E740481C1C}">
                          <a14:useLocalDpi xmlns:a14="http://schemas.microsoft.com/office/drawing/2010/main" val="0"/>
                        </a:ext>
                      </a:extLst>
                    </a:blip>
                    <a:srcRect l="7510" t="6763" r="14816" b="9903"/>
                    <a:stretch>
                      <a:fillRect/>
                    </a:stretch>
                  </pic:blipFill>
                  <pic:spPr bwMode="auto">
                    <a:xfrm>
                      <a:off x="0" y="0"/>
                      <a:ext cx="4067175" cy="3086100"/>
                    </a:xfrm>
                    <a:prstGeom prst="rect">
                      <a:avLst/>
                    </a:prstGeom>
                    <a:noFill/>
                    <a:ln>
                      <a:noFill/>
                    </a:ln>
                  </pic:spPr>
                </pic:pic>
              </a:graphicData>
            </a:graphic>
          </wp:inline>
        </w:drawing>
      </w:r>
    </w:p>
    <w:p w:rsidR="00214E68" w:rsidRDefault="00214E68" w:rsidP="00214E68">
      <w:r>
        <w:t>Obr. 1 Poloha CHKO Moravský kras v rámci Jihomoravského kraje</w:t>
      </w:r>
    </w:p>
    <w:p w:rsidR="00214E68" w:rsidRDefault="00214E68" w:rsidP="00214E68">
      <w:r>
        <w:t xml:space="preserve">Zdroj dat: </w:t>
      </w:r>
      <w:r w:rsidR="00202E60">
        <w:t>[1]</w:t>
      </w:r>
    </w:p>
    <w:p w:rsidR="00214E68" w:rsidRDefault="00214E68" w:rsidP="00214E68"/>
    <w:p w:rsidR="00214E68" w:rsidRDefault="00214E68" w:rsidP="00214E68">
      <w:r>
        <w:tab/>
        <w:t xml:space="preserve">CHKO Moravský kras je podle stupně ochrany přírody zařazena do třech zón. V I. zóně se vyskytují pouze původní druhy dřevin. Lesy jsou zde ponechány samovolnému vývoji. Ve II. zóně jsou pěstovány nepůvodní druhy vždy se zastoupením původních druhů. Převažuje zde přirozená obnova lesů. III. zóna obsahuje geograficky původní druhy. Nepůvodní druhy jsou stejně jako ve II. zóně vysazovány vždy ve směsi s původními druhy. Nedochází k zakládání monokultur. Je zde uplatňována přirozená i umělá obnova </w:t>
      </w:r>
      <w:r w:rsidR="00202E60">
        <w:t>[2]</w:t>
      </w:r>
      <w:r>
        <w:t>.</w:t>
      </w:r>
    </w:p>
    <w:p w:rsidR="00214E68" w:rsidRPr="00214E68" w:rsidRDefault="00214E68" w:rsidP="00214E68">
      <w:pPr>
        <w:rPr>
          <w:b/>
        </w:rPr>
      </w:pPr>
      <w:r w:rsidRPr="00214E68">
        <w:rPr>
          <w:b/>
        </w:rPr>
        <w:t>Definice dálkového průzkumu Země</w:t>
      </w:r>
    </w:p>
    <w:p w:rsidR="00214E68" w:rsidRDefault="00214E68" w:rsidP="00214E68"/>
    <w:p w:rsidR="00214E68" w:rsidRDefault="00214E68" w:rsidP="00214E68">
      <w:r>
        <w:tab/>
        <w:t xml:space="preserve">Neexistuje jednotná definice vystihující pojem dálkový průzkum Země. Dle </w:t>
      </w:r>
      <w:r w:rsidR="00202E60">
        <w:t xml:space="preserve">[3] </w:t>
      </w:r>
      <w:r>
        <w:t xml:space="preserve">je definice dálkového průzkumu následovná: „Dálkový průzkum znamená získávání informací o objektech a jevech na </w:t>
      </w:r>
      <w:proofErr w:type="gramStart"/>
      <w:r>
        <w:t>dálku - bez</w:t>
      </w:r>
      <w:proofErr w:type="gramEnd"/>
      <w:r>
        <w:t xml:space="preserve"> přímého kontaktu s těmito jevy či objekty, při kterém se využívá dvou základních poznatků:</w:t>
      </w:r>
    </w:p>
    <w:p w:rsidR="00214E68" w:rsidRDefault="00214E68" w:rsidP="00214E68">
      <w:r>
        <w:tab/>
        <w:t>Člověk, ať již sám či za pomoci různě složitých přístrojů, je schopen získávat kvalitativní i kvantitativní informace o jevech a věcech, které ho obklopují.</w:t>
      </w:r>
    </w:p>
    <w:p w:rsidR="00214E68" w:rsidRDefault="00214E68" w:rsidP="00214E68">
      <w:r>
        <w:tab/>
        <w:t>Každý tento jev nebo objekt nějakým charakteristickým způsobem ovlivňuje své okolí.“</w:t>
      </w:r>
    </w:p>
    <w:p w:rsidR="00214E68" w:rsidRDefault="00214E68" w:rsidP="00214E68"/>
    <w:p w:rsidR="00214E68" w:rsidRDefault="00214E68" w:rsidP="00214E68">
      <w:r>
        <w:t>Další používané definice:</w:t>
      </w:r>
    </w:p>
    <w:p w:rsidR="00214E68" w:rsidRDefault="00214E68" w:rsidP="00214E68">
      <w:r>
        <w:tab/>
        <w:t xml:space="preserve">„Dálkový průzkum v užším a v geografii především používaném smyslu, představuje získávání informací pomocí leteckých a družicových snímků. Zahrnuje jednak metody snímkování, jednak výklad </w:t>
      </w:r>
      <w:proofErr w:type="gramStart"/>
      <w:r>
        <w:t xml:space="preserve">snímků - </w:t>
      </w:r>
      <w:proofErr w:type="spellStart"/>
      <w:r>
        <w:t>fotointerpretaci</w:t>
      </w:r>
      <w:proofErr w:type="spellEnd"/>
      <w:proofErr w:type="gramEnd"/>
      <w:r>
        <w:t xml:space="preserve">.“ </w:t>
      </w:r>
      <w:r w:rsidR="00202E60">
        <w:t>[4]</w:t>
      </w:r>
    </w:p>
    <w:p w:rsidR="00214E68" w:rsidRDefault="00214E68" w:rsidP="00214E68">
      <w:r>
        <w:lastRenderedPageBreak/>
        <w:tab/>
        <w:t xml:space="preserve">„Sběr dat o území realizovaný z kosmického (kosmický průzkum) nebo letadlového nosiče (letecký průzkum) a zpracování těchto dat k získání informací o poloze, stavu a druhu objektů a jevů zemského povrchu.“ </w:t>
      </w:r>
      <w:r w:rsidR="00202E60">
        <w:t>[5]</w:t>
      </w:r>
    </w:p>
    <w:p w:rsidR="00214E68" w:rsidRDefault="00214E68" w:rsidP="00214E68">
      <w:r>
        <w:tab/>
        <w:t>„</w:t>
      </w:r>
      <w:proofErr w:type="spellStart"/>
      <w:r>
        <w:t>Remote</w:t>
      </w:r>
      <w:proofErr w:type="spellEnd"/>
      <w:r>
        <w:t xml:space="preserve"> </w:t>
      </w:r>
      <w:proofErr w:type="spellStart"/>
      <w:r>
        <w:t>sensing</w:t>
      </w:r>
      <w:proofErr w:type="spellEnd"/>
      <w:r>
        <w:t xml:space="preserve"> </w:t>
      </w:r>
      <w:proofErr w:type="spellStart"/>
      <w:r>
        <w:t>is</w:t>
      </w:r>
      <w:proofErr w:type="spellEnd"/>
      <w:r>
        <w:t xml:space="preserve"> </w:t>
      </w:r>
      <w:proofErr w:type="spellStart"/>
      <w:r>
        <w:t>the</w:t>
      </w:r>
      <w:proofErr w:type="spellEnd"/>
      <w:r>
        <w:t xml:space="preserve"> science and art </w:t>
      </w:r>
      <w:proofErr w:type="spellStart"/>
      <w:r>
        <w:t>of</w:t>
      </w:r>
      <w:proofErr w:type="spellEnd"/>
      <w:r>
        <w:t xml:space="preserve"> </w:t>
      </w:r>
      <w:proofErr w:type="spellStart"/>
      <w:r>
        <w:t>obtaining</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an</w:t>
      </w:r>
      <w:proofErr w:type="spellEnd"/>
      <w:r>
        <w:t xml:space="preserve"> </w:t>
      </w:r>
      <w:proofErr w:type="spellStart"/>
      <w:r>
        <w:t>object</w:t>
      </w:r>
      <w:proofErr w:type="spellEnd"/>
      <w:r>
        <w:t xml:space="preserve">, area, </w:t>
      </w:r>
      <w:proofErr w:type="spellStart"/>
      <w:r>
        <w:t>or</w:t>
      </w:r>
      <w:proofErr w:type="spellEnd"/>
      <w:r>
        <w:t xml:space="preserve"> </w:t>
      </w:r>
      <w:proofErr w:type="spellStart"/>
      <w:r>
        <w:t>phenomenon</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analysis</w:t>
      </w:r>
      <w:proofErr w:type="spellEnd"/>
      <w:r>
        <w:t xml:space="preserve"> </w:t>
      </w:r>
      <w:proofErr w:type="spellStart"/>
      <w:r>
        <w:t>of</w:t>
      </w:r>
      <w:proofErr w:type="spellEnd"/>
      <w:r>
        <w:t xml:space="preserve"> data </w:t>
      </w:r>
      <w:proofErr w:type="spellStart"/>
      <w:r>
        <w:t>acquired</w:t>
      </w:r>
      <w:proofErr w:type="spellEnd"/>
      <w:r>
        <w:t xml:space="preserve"> by a </w:t>
      </w:r>
      <w:proofErr w:type="spellStart"/>
      <w:r>
        <w:t>device</w:t>
      </w:r>
      <w:proofErr w:type="spellEnd"/>
      <w:r>
        <w:t xml:space="preserve"> </w:t>
      </w:r>
      <w:proofErr w:type="spellStart"/>
      <w:r>
        <w:t>that</w:t>
      </w:r>
      <w:proofErr w:type="spellEnd"/>
      <w:r>
        <w:t xml:space="preserve"> </w:t>
      </w:r>
      <w:proofErr w:type="spellStart"/>
      <w:r>
        <w:t>is</w:t>
      </w:r>
      <w:proofErr w:type="spellEnd"/>
      <w:r>
        <w:t xml:space="preserve"> not in </w:t>
      </w:r>
      <w:proofErr w:type="spellStart"/>
      <w:r>
        <w:t>contact</w:t>
      </w:r>
      <w:proofErr w:type="spellEnd"/>
      <w:r>
        <w:t xml:space="preserve"> </w:t>
      </w:r>
      <w:proofErr w:type="spellStart"/>
      <w:r>
        <w:t>with</w:t>
      </w:r>
      <w:proofErr w:type="spellEnd"/>
      <w:r>
        <w:t xml:space="preserve"> </w:t>
      </w:r>
      <w:proofErr w:type="spellStart"/>
      <w:r>
        <w:t>the</w:t>
      </w:r>
      <w:proofErr w:type="spellEnd"/>
      <w:r>
        <w:t xml:space="preserve"> </w:t>
      </w:r>
      <w:proofErr w:type="spellStart"/>
      <w:r>
        <w:t>object</w:t>
      </w:r>
      <w:proofErr w:type="spellEnd"/>
      <w:r>
        <w:t xml:space="preserve">, area, </w:t>
      </w:r>
      <w:proofErr w:type="spellStart"/>
      <w:r>
        <w:t>or</w:t>
      </w:r>
      <w:proofErr w:type="spellEnd"/>
      <w:r>
        <w:t xml:space="preserve"> </w:t>
      </w:r>
      <w:proofErr w:type="spellStart"/>
      <w:r>
        <w:t>phenomenon</w:t>
      </w:r>
      <w:proofErr w:type="spellEnd"/>
      <w:r>
        <w:t xml:space="preserve"> </w:t>
      </w:r>
      <w:proofErr w:type="spellStart"/>
      <w:r>
        <w:t>under</w:t>
      </w:r>
      <w:proofErr w:type="spellEnd"/>
      <w:r>
        <w:t xml:space="preserve"> </w:t>
      </w:r>
      <w:proofErr w:type="spellStart"/>
      <w:r>
        <w:t>investigation</w:t>
      </w:r>
      <w:proofErr w:type="spellEnd"/>
      <w:r>
        <w:t>.“  (LILLESAND, KIEFER, CHIPMAN, 2004, s. 1)</w:t>
      </w:r>
    </w:p>
    <w:p w:rsidR="00214E68" w:rsidRDefault="00214E68" w:rsidP="00214E68">
      <w:r>
        <w:tab/>
        <w:t>„</w:t>
      </w:r>
      <w:proofErr w:type="spellStart"/>
      <w:r>
        <w:t>Remote</w:t>
      </w:r>
      <w:proofErr w:type="spellEnd"/>
      <w:r>
        <w:t xml:space="preserve"> </w:t>
      </w:r>
      <w:proofErr w:type="spellStart"/>
      <w:r>
        <w:t>sensing</w:t>
      </w:r>
      <w:proofErr w:type="spellEnd"/>
      <w:r>
        <w:t xml:space="preserve"> </w:t>
      </w:r>
      <w:proofErr w:type="spellStart"/>
      <w:r>
        <w:t>is</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of</w:t>
      </w:r>
      <w:proofErr w:type="spellEnd"/>
      <w:r>
        <w:t xml:space="preserve"> </w:t>
      </w:r>
      <w:proofErr w:type="spellStart"/>
      <w:r>
        <w:t>deriving</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Earth's</w:t>
      </w:r>
      <w:proofErr w:type="spellEnd"/>
      <w:r>
        <w:t xml:space="preserve"> </w:t>
      </w:r>
      <w:proofErr w:type="spellStart"/>
      <w:r>
        <w:t>land</w:t>
      </w:r>
      <w:proofErr w:type="spellEnd"/>
      <w:r>
        <w:t xml:space="preserve"> and </w:t>
      </w:r>
      <w:proofErr w:type="spellStart"/>
      <w:r>
        <w:t>water</w:t>
      </w:r>
      <w:proofErr w:type="spellEnd"/>
      <w:r>
        <w:t xml:space="preserve"> </w:t>
      </w:r>
      <w:proofErr w:type="spellStart"/>
      <w:r>
        <w:t>surfaces</w:t>
      </w:r>
      <w:proofErr w:type="spellEnd"/>
      <w:r>
        <w:t xml:space="preserve"> </w:t>
      </w:r>
      <w:proofErr w:type="spellStart"/>
      <w:r>
        <w:t>using</w:t>
      </w:r>
      <w:proofErr w:type="spellEnd"/>
      <w:r>
        <w:t xml:space="preserve"> </w:t>
      </w:r>
      <w:proofErr w:type="spellStart"/>
      <w:r>
        <w:t>images</w:t>
      </w:r>
      <w:proofErr w:type="spellEnd"/>
      <w:r>
        <w:t xml:space="preserve"> </w:t>
      </w:r>
      <w:proofErr w:type="spellStart"/>
      <w:r>
        <w:t>acquired</w:t>
      </w:r>
      <w:proofErr w:type="spellEnd"/>
      <w:r>
        <w:t xml:space="preserve"> </w:t>
      </w:r>
      <w:proofErr w:type="spellStart"/>
      <w:r>
        <w:t>from</w:t>
      </w:r>
      <w:proofErr w:type="spellEnd"/>
      <w:r>
        <w:t xml:space="preserve"> </w:t>
      </w:r>
      <w:proofErr w:type="spellStart"/>
      <w:r>
        <w:t>an</w:t>
      </w:r>
      <w:proofErr w:type="spellEnd"/>
      <w:r>
        <w:t xml:space="preserve"> </w:t>
      </w:r>
      <w:proofErr w:type="spellStart"/>
      <w:r>
        <w:t>overhead</w:t>
      </w:r>
      <w:proofErr w:type="spellEnd"/>
      <w:r>
        <w:t xml:space="preserve"> </w:t>
      </w:r>
      <w:proofErr w:type="spellStart"/>
      <w:r>
        <w:t>perspective</w:t>
      </w:r>
      <w:proofErr w:type="spellEnd"/>
      <w:r>
        <w:t xml:space="preserve">, </w:t>
      </w:r>
      <w:proofErr w:type="spellStart"/>
      <w:r>
        <w:t>using</w:t>
      </w:r>
      <w:proofErr w:type="spellEnd"/>
      <w:r>
        <w:t xml:space="preserve"> </w:t>
      </w:r>
      <w:proofErr w:type="spellStart"/>
      <w:r>
        <w:t>electromagnetic</w:t>
      </w:r>
      <w:proofErr w:type="spellEnd"/>
      <w:r>
        <w:t xml:space="preserve"> </w:t>
      </w:r>
      <w:proofErr w:type="spellStart"/>
      <w:r>
        <w:t>radiation</w:t>
      </w:r>
      <w:proofErr w:type="spellEnd"/>
      <w:r>
        <w:t xml:space="preserve"> in </w:t>
      </w:r>
      <w:proofErr w:type="spellStart"/>
      <w:r>
        <w:t>one</w:t>
      </w:r>
      <w:proofErr w:type="spellEnd"/>
      <w:r>
        <w:t xml:space="preserve"> </w:t>
      </w:r>
      <w:proofErr w:type="spellStart"/>
      <w:r>
        <w:t>or</w:t>
      </w:r>
      <w:proofErr w:type="spellEnd"/>
      <w:r>
        <w:t xml:space="preserve"> more </w:t>
      </w:r>
      <w:proofErr w:type="spellStart"/>
      <w:r>
        <w:t>regions</w:t>
      </w:r>
      <w:proofErr w:type="spellEnd"/>
      <w:r>
        <w:t xml:space="preserve"> </w:t>
      </w:r>
      <w:proofErr w:type="spellStart"/>
      <w:r>
        <w:t>of</w:t>
      </w:r>
      <w:proofErr w:type="spellEnd"/>
      <w:r>
        <w:t xml:space="preserve"> </w:t>
      </w:r>
      <w:proofErr w:type="spellStart"/>
      <w:r>
        <w:t>the</w:t>
      </w:r>
      <w:proofErr w:type="spellEnd"/>
      <w:r>
        <w:t xml:space="preserve"> </w:t>
      </w:r>
      <w:proofErr w:type="spellStart"/>
      <w:r>
        <w:t>electromegnetic</w:t>
      </w:r>
      <w:proofErr w:type="spellEnd"/>
      <w:r>
        <w:t xml:space="preserve"> </w:t>
      </w:r>
      <w:proofErr w:type="spellStart"/>
      <w:r>
        <w:t>spectrum</w:t>
      </w:r>
      <w:proofErr w:type="spellEnd"/>
      <w:r>
        <w:t xml:space="preserve">, </w:t>
      </w:r>
      <w:proofErr w:type="spellStart"/>
      <w:r>
        <w:t>reflected</w:t>
      </w:r>
      <w:proofErr w:type="spellEnd"/>
      <w:r>
        <w:t xml:space="preserve"> </w:t>
      </w:r>
      <w:proofErr w:type="spellStart"/>
      <w:r>
        <w:t>or</w:t>
      </w:r>
      <w:proofErr w:type="spellEnd"/>
      <w:r>
        <w:t xml:space="preserve"> </w:t>
      </w:r>
      <w:proofErr w:type="spellStart"/>
      <w:r>
        <w:t>emitted</w:t>
      </w:r>
      <w:proofErr w:type="spellEnd"/>
      <w:r>
        <w:t xml:space="preserve"> </w:t>
      </w:r>
      <w:proofErr w:type="spellStart"/>
      <w:r>
        <w:t>from</w:t>
      </w:r>
      <w:proofErr w:type="spellEnd"/>
      <w:r>
        <w:t xml:space="preserve"> </w:t>
      </w:r>
      <w:proofErr w:type="spellStart"/>
      <w:r>
        <w:t>the</w:t>
      </w:r>
      <w:proofErr w:type="spellEnd"/>
      <w:r>
        <w:t xml:space="preserve"> </w:t>
      </w:r>
      <w:proofErr w:type="spellStart"/>
      <w:r>
        <w:t>Earth's</w:t>
      </w:r>
      <w:proofErr w:type="spellEnd"/>
      <w:r>
        <w:t xml:space="preserve"> </w:t>
      </w:r>
      <w:proofErr w:type="spellStart"/>
      <w:r>
        <w:t>surface</w:t>
      </w:r>
      <w:proofErr w:type="spellEnd"/>
      <w:r>
        <w:t xml:space="preserve">.“  </w:t>
      </w:r>
      <w:r w:rsidR="00202E60">
        <w:t>[6]</w:t>
      </w:r>
    </w:p>
    <w:p w:rsidR="00214E68" w:rsidRPr="00214E68" w:rsidRDefault="00214E68" w:rsidP="00214E68">
      <w:pPr>
        <w:rPr>
          <w:b/>
        </w:rPr>
      </w:pPr>
      <w:r w:rsidRPr="00214E68">
        <w:rPr>
          <w:b/>
        </w:rPr>
        <w:t>Fyzikální podstata DPZ</w:t>
      </w:r>
    </w:p>
    <w:p w:rsidR="00214E68" w:rsidRDefault="00214E68" w:rsidP="00214E68"/>
    <w:p w:rsidR="00214E68" w:rsidRDefault="00214E68" w:rsidP="00214E68">
      <w:r>
        <w:tab/>
        <w:t xml:space="preserve">Dálkový průzkum Země využívá k získávání informací o objektech a jevech elektromagnetické záření. Na obrázku číslo 2 je znázorněné schéma elektromagnetické vlny. Elektromagnetická vlna se skládá ze sinusoidy elektrické vlny E a magnetické vlny M, které spolu svírají pravý úhel a jsou rovnoběžné ve směru šíření. Elektromagnetická vlna se šíří rychlostí světla c </w:t>
      </w:r>
      <w:r w:rsidR="00202E60">
        <w:t>[3]</w:t>
      </w:r>
    </w:p>
    <w:p w:rsidR="00214E68" w:rsidRDefault="00214E68" w:rsidP="00214E68">
      <w:r>
        <w:t xml:space="preserve"> </w:t>
      </w:r>
      <w:r>
        <w:rPr>
          <w:noProof/>
        </w:rPr>
        <w:drawing>
          <wp:inline distT="0" distB="0" distL="0" distR="0" wp14:anchorId="362A127E">
            <wp:extent cx="4773295" cy="20669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3295" cy="2066925"/>
                    </a:xfrm>
                    <a:prstGeom prst="rect">
                      <a:avLst/>
                    </a:prstGeom>
                    <a:noFill/>
                  </pic:spPr>
                </pic:pic>
              </a:graphicData>
            </a:graphic>
          </wp:inline>
        </w:drawing>
      </w:r>
    </w:p>
    <w:p w:rsidR="00214E68" w:rsidRDefault="00214E68" w:rsidP="00214E68">
      <w:r>
        <w:t>Obr. 2 Schéma elektromagnetické vlny</w:t>
      </w:r>
    </w:p>
    <w:p w:rsidR="00214E68" w:rsidRDefault="00214E68" w:rsidP="00214E68">
      <w:r>
        <w:t xml:space="preserve">Zdroj: </w:t>
      </w:r>
      <w:r w:rsidR="00202E60">
        <w:t>[3]</w:t>
      </w:r>
    </w:p>
    <w:p w:rsidR="00214E68" w:rsidRDefault="00214E68" w:rsidP="00214E68"/>
    <w:p w:rsidR="00214E68" w:rsidRDefault="00214E68" w:rsidP="00214E68">
      <w:r>
        <w:tab/>
        <w:t xml:space="preserve">Vzdálenost od vrcholu jedné vlny k vedlejší se nazývá vlnová délka (λ). Počet </w:t>
      </w:r>
      <w:proofErr w:type="gramStart"/>
      <w:r>
        <w:t>vrcholů</w:t>
      </w:r>
      <w:proofErr w:type="gramEnd"/>
      <w:r>
        <w:t xml:space="preserve"> které projdou pevným bodem v prostoru za jednotku času je označován jako frekvence (v). Nepřímá úměra těchto veličin je vyjádřena rovnicí:</w:t>
      </w:r>
    </w:p>
    <w:p w:rsidR="00214E68" w:rsidRDefault="00214E68" w:rsidP="00214E68">
      <w:r>
        <w:t>c=</w:t>
      </w:r>
      <w:proofErr w:type="spellStart"/>
      <w:r>
        <w:t>vλ</w:t>
      </w:r>
      <w:proofErr w:type="spellEnd"/>
    </w:p>
    <w:p w:rsidR="00214E68" w:rsidRDefault="00214E68" w:rsidP="00214E68">
      <w:r>
        <w:tab/>
        <w:t>Nejčastěji se elektromagnetické vlny třídí podle jejich vlnové délky v rámci elektromagnetického spektra. Celé spektrum je schematicky znázorněno na obrázku 3. Jednotkou pro měření vlnové délky podél spektra je mikrometr (µm). Viditelná část spektra, které je lidské oko schopno vnímat, je rozšířeno pouze v části od 0,4 µm přibližně do 0,7 µm. Snímací zařízení jsou schopna zachytit informace ze šesti oblastí spektra:</w:t>
      </w:r>
    </w:p>
    <w:p w:rsidR="00214E68" w:rsidRDefault="00214E68" w:rsidP="00214E68">
      <w:r>
        <w:tab/>
        <w:t>ultrafialové záření (UV) - 0,1 až 0,4 µm</w:t>
      </w:r>
    </w:p>
    <w:p w:rsidR="00214E68" w:rsidRDefault="00214E68" w:rsidP="00214E68">
      <w:r>
        <w:tab/>
        <w:t>viditelné záření - 0,4 až 0,7 µm</w:t>
      </w:r>
    </w:p>
    <w:p w:rsidR="00214E68" w:rsidRDefault="00214E68" w:rsidP="00214E68">
      <w:r>
        <w:lastRenderedPageBreak/>
        <w:tab/>
        <w:t xml:space="preserve">infračervené </w:t>
      </w:r>
      <w:proofErr w:type="gramStart"/>
      <w:r>
        <w:t>záření - blízké</w:t>
      </w:r>
      <w:proofErr w:type="gramEnd"/>
      <w:r>
        <w:t xml:space="preserve"> infračervené (NIR) 0,7 až 1,3 µm</w:t>
      </w:r>
    </w:p>
    <w:p w:rsidR="00214E68" w:rsidRDefault="00214E68" w:rsidP="00214E68">
      <w:r>
        <w:tab/>
      </w:r>
      <w:r>
        <w:tab/>
        <w:t xml:space="preserve">         - střední infračervené (MIR) 1,3 až 3 µm</w:t>
      </w:r>
    </w:p>
    <w:p w:rsidR="00214E68" w:rsidRDefault="00214E68" w:rsidP="00214E68">
      <w:r>
        <w:tab/>
      </w:r>
      <w:r>
        <w:tab/>
        <w:t xml:space="preserve">         - tepelné infračervené (TIR) 3 až 14 µm</w:t>
      </w:r>
    </w:p>
    <w:p w:rsidR="00214E68" w:rsidRDefault="00214E68" w:rsidP="00214E68">
      <w:r>
        <w:tab/>
        <w:t>mikrovlnné záření - 1 mm až 1 m</w:t>
      </w:r>
    </w:p>
    <w:p w:rsidR="00214E68" w:rsidRDefault="00214E68" w:rsidP="00214E68"/>
    <w:p w:rsidR="00214E68" w:rsidRDefault="00214E68" w:rsidP="00214E68">
      <w:r>
        <w:tab/>
        <w:t>Zařízení snímají více oblastí spektra najednou. Z infračervené části spektra pouze z tepelného pásma získáváme informaci o tepelné bilanci</w:t>
      </w:r>
      <w:r w:rsidR="00202E60">
        <w:t xml:space="preserve"> [4,5]</w:t>
      </w:r>
      <w:r>
        <w:t xml:space="preserve">. </w:t>
      </w:r>
    </w:p>
    <w:p w:rsidR="00214E68" w:rsidRDefault="00214E68" w:rsidP="00214E68">
      <w:r>
        <w:t xml:space="preserve"> </w:t>
      </w:r>
      <w:r w:rsidRPr="00214E68">
        <w:rPr>
          <w:rFonts w:eastAsia="Times New Roman"/>
          <w:noProof/>
          <w:szCs w:val="24"/>
          <w:lang w:eastAsia="cs-CZ"/>
        </w:rPr>
        <w:drawing>
          <wp:inline distT="0" distB="0" distL="0" distR="0">
            <wp:extent cx="5581650" cy="2609850"/>
            <wp:effectExtent l="0" t="0" r="0" b="0"/>
            <wp:docPr id="11" name="Obrázek 5" descr="ELEKTROMAGNETICKÉ SPEK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ELEKTROMAGNETICKÉ SPEKTRUM.jpg"/>
                    <pic:cNvPicPr>
                      <a:picLocks noChangeAspect="1" noChangeArrowheads="1"/>
                    </pic:cNvPicPr>
                  </pic:nvPicPr>
                  <pic:blipFill>
                    <a:blip r:embed="rId7">
                      <a:extLst>
                        <a:ext uri="{28A0092B-C50C-407E-A947-70E740481C1C}">
                          <a14:useLocalDpi xmlns:a14="http://schemas.microsoft.com/office/drawing/2010/main" val="0"/>
                        </a:ext>
                      </a:extLst>
                    </a:blip>
                    <a:srcRect r="-150" b="12180"/>
                    <a:stretch>
                      <a:fillRect/>
                    </a:stretch>
                  </pic:blipFill>
                  <pic:spPr bwMode="auto">
                    <a:xfrm>
                      <a:off x="0" y="0"/>
                      <a:ext cx="5581650" cy="2609850"/>
                    </a:xfrm>
                    <a:prstGeom prst="rect">
                      <a:avLst/>
                    </a:prstGeom>
                    <a:noFill/>
                    <a:ln>
                      <a:noFill/>
                    </a:ln>
                  </pic:spPr>
                </pic:pic>
              </a:graphicData>
            </a:graphic>
          </wp:inline>
        </w:drawing>
      </w:r>
    </w:p>
    <w:p w:rsidR="00214E68" w:rsidRDefault="00214E68" w:rsidP="00214E68">
      <w:r>
        <w:t>Obr. 3 Elektromagnetické spektrum</w:t>
      </w:r>
    </w:p>
    <w:p w:rsidR="00214E68" w:rsidRDefault="00214E68" w:rsidP="00214E68">
      <w:r>
        <w:t xml:space="preserve">Zdroj: </w:t>
      </w:r>
      <w:r w:rsidR="00202E60">
        <w:t>[5]</w:t>
      </w:r>
    </w:p>
    <w:p w:rsidR="00214E68" w:rsidRDefault="00214E68"/>
    <w:p w:rsidR="00214E68" w:rsidRPr="00214E68" w:rsidRDefault="00214E68" w:rsidP="00214E68">
      <w:pPr>
        <w:rPr>
          <w:b/>
        </w:rPr>
      </w:pPr>
      <w:bookmarkStart w:id="0" w:name="_Toc450640275"/>
      <w:r w:rsidRPr="00214E68">
        <w:rPr>
          <w:b/>
        </w:rPr>
        <w:t>Spektrální chování objektů</w:t>
      </w:r>
      <w:bookmarkEnd w:id="0"/>
    </w:p>
    <w:p w:rsidR="00214E68" w:rsidRDefault="00214E68" w:rsidP="00214E68">
      <w:pPr>
        <w:rPr>
          <w:sz w:val="12"/>
          <w:szCs w:val="12"/>
        </w:rPr>
      </w:pPr>
    </w:p>
    <w:p w:rsidR="00214E68" w:rsidRDefault="00214E68" w:rsidP="00214E68">
      <w:pPr>
        <w:rPr>
          <w:szCs w:val="24"/>
        </w:rPr>
      </w:pPr>
      <w:r>
        <w:rPr>
          <w:szCs w:val="24"/>
        </w:rPr>
        <w:tab/>
        <w:t>Sluneční záření je při průchodu atmosférou k zemskému povrchu i zpět modifikováno. Intenzita odraženého krátkovlnného a intenzita emitovaného dlouhovlnného záření závisí na následujících faktorech:</w:t>
      </w:r>
    </w:p>
    <w:p w:rsidR="00214E68" w:rsidRDefault="00214E68" w:rsidP="00214E68">
      <w:pPr>
        <w:pStyle w:val="Odstavecseseznamem"/>
        <w:numPr>
          <w:ilvl w:val="0"/>
          <w:numId w:val="2"/>
        </w:numPr>
        <w:rPr>
          <w:szCs w:val="24"/>
        </w:rPr>
      </w:pPr>
      <w:r>
        <w:rPr>
          <w:szCs w:val="24"/>
        </w:rPr>
        <w:t>na druhu látky, či objektu</w:t>
      </w:r>
    </w:p>
    <w:p w:rsidR="00214E68" w:rsidRDefault="00214E68" w:rsidP="00214E68">
      <w:pPr>
        <w:pStyle w:val="Odstavecseseznamem"/>
        <w:numPr>
          <w:ilvl w:val="0"/>
          <w:numId w:val="2"/>
        </w:numPr>
        <w:rPr>
          <w:szCs w:val="24"/>
        </w:rPr>
      </w:pPr>
      <w:r>
        <w:rPr>
          <w:szCs w:val="24"/>
        </w:rPr>
        <w:t>na jeho fyzikálním stavu</w:t>
      </w:r>
    </w:p>
    <w:p w:rsidR="00214E68" w:rsidRDefault="00214E68" w:rsidP="00214E68">
      <w:pPr>
        <w:pStyle w:val="Odstavecseseznamem"/>
        <w:numPr>
          <w:ilvl w:val="0"/>
          <w:numId w:val="2"/>
        </w:numPr>
        <w:rPr>
          <w:szCs w:val="24"/>
        </w:rPr>
      </w:pPr>
      <w:r>
        <w:rPr>
          <w:szCs w:val="24"/>
        </w:rPr>
        <w:t>na stavu jeho okolí</w:t>
      </w:r>
    </w:p>
    <w:p w:rsidR="00214E68" w:rsidRDefault="00214E68" w:rsidP="00214E68">
      <w:pPr>
        <w:pStyle w:val="Odstavecseseznamem"/>
        <w:ind w:left="1425"/>
        <w:rPr>
          <w:szCs w:val="24"/>
        </w:rPr>
      </w:pPr>
    </w:p>
    <w:p w:rsidR="00214E68" w:rsidRDefault="00214E68" w:rsidP="00214E68">
      <w:pPr>
        <w:pStyle w:val="Odstavecseseznamem"/>
        <w:ind w:left="0"/>
        <w:rPr>
          <w:szCs w:val="24"/>
        </w:rPr>
      </w:pPr>
      <w:r>
        <w:rPr>
          <w:szCs w:val="24"/>
        </w:rPr>
        <w:tab/>
        <w:t xml:space="preserve">Podle </w:t>
      </w:r>
      <w:r w:rsidR="00202E60">
        <w:rPr>
          <w:szCs w:val="24"/>
        </w:rPr>
        <w:t>[3]</w:t>
      </w:r>
      <w:r>
        <w:rPr>
          <w:szCs w:val="24"/>
        </w:rPr>
        <w:t xml:space="preserve"> „Množství odraženého záření lze charakterizovat tzv. spektrální odrazivostí ρ(λ), kterou lze definovat například jako poměr intenzity odraženého záření (</w:t>
      </w:r>
      <w:proofErr w:type="spellStart"/>
      <w:r>
        <w:rPr>
          <w:szCs w:val="24"/>
        </w:rPr>
        <w:t>M</w:t>
      </w:r>
      <w:r w:rsidRPr="0009745B">
        <w:rPr>
          <w:szCs w:val="24"/>
          <w:vertAlign w:val="subscript"/>
        </w:rPr>
        <w:t>r</w:t>
      </w:r>
      <w:proofErr w:type="spellEnd"/>
      <w:r>
        <w:rPr>
          <w:szCs w:val="24"/>
        </w:rPr>
        <w:t>) a intenzity záření dopadajícího (M</w:t>
      </w:r>
      <w:r w:rsidRPr="0009745B">
        <w:rPr>
          <w:szCs w:val="24"/>
          <w:vertAlign w:val="subscript"/>
        </w:rPr>
        <w:t>i</w:t>
      </w:r>
      <w:r>
        <w:rPr>
          <w:szCs w:val="24"/>
        </w:rPr>
        <w:t xml:space="preserve">) na určité vlnové délce (λ) udávaný např. v </w:t>
      </w:r>
      <w:proofErr w:type="spellStart"/>
      <w:proofErr w:type="gramStart"/>
      <w:r>
        <w:rPr>
          <w:szCs w:val="24"/>
        </w:rPr>
        <w:t>procentech,tedy</w:t>
      </w:r>
      <w:proofErr w:type="spellEnd"/>
      <w:proofErr w:type="gramEnd"/>
      <w:r>
        <w:rPr>
          <w:szCs w:val="24"/>
        </w:rPr>
        <w:t>:</w:t>
      </w:r>
    </w:p>
    <w:p w:rsidR="00214E68" w:rsidRDefault="00214E68" w:rsidP="00214E68">
      <w:pPr>
        <w:pStyle w:val="Odstavecseseznamem"/>
        <w:ind w:left="0"/>
        <w:rPr>
          <w:szCs w:val="24"/>
        </w:rPr>
      </w:pPr>
    </w:p>
    <w:p w:rsidR="00214E68" w:rsidRPr="00214E68" w:rsidRDefault="00214E68" w:rsidP="00214E68">
      <w:pPr>
        <w:pStyle w:val="Odstavecseseznamem"/>
        <w:ind w:left="0"/>
        <w:jc w:val="center"/>
        <w:rPr>
          <w:rFonts w:eastAsia="Times New Roman"/>
          <w:i/>
          <w:szCs w:val="24"/>
        </w:rPr>
      </w:pPr>
      <m:oMath>
        <m:r>
          <m:rPr>
            <m:sty m:val="p"/>
          </m:rPr>
          <w:rPr>
            <w:rFonts w:ascii="Cambria Math" w:hAnsi="Cambria Math"/>
            <w:szCs w:val="24"/>
          </w:rPr>
          <m:t>ρ</m:t>
        </m:r>
        <m:d>
          <m:dPr>
            <m:ctrlPr>
              <w:rPr>
                <w:rFonts w:ascii="Cambria Math" w:hAnsi="Cambria Math"/>
                <w:szCs w:val="24"/>
              </w:rPr>
            </m:ctrlPr>
          </m:dPr>
          <m:e>
            <m:r>
              <m:rPr>
                <m:sty m:val="p"/>
              </m:rPr>
              <w:rPr>
                <w:rFonts w:ascii="Cambria Math" w:hAnsi="Cambria Math"/>
                <w:szCs w:val="24"/>
              </w:rPr>
              <m:t>λ</m:t>
            </m:r>
          </m:e>
        </m:d>
        <m:r>
          <w:rPr>
            <w:rFonts w:ascii="Cambria Math" w:hAnsi="Cambria Math"/>
            <w:szCs w:val="24"/>
          </w:rPr>
          <m:t>=</m:t>
        </m:r>
        <m:f>
          <m:fPr>
            <m:ctrlPr>
              <w:rPr>
                <w:rFonts w:ascii="Cambria Math" w:hAnsi="Cambria Math"/>
                <w:i/>
                <w:szCs w:val="24"/>
              </w:rPr>
            </m:ctrlPr>
          </m:fPr>
          <m:num>
            <m:sSub>
              <m:sSubPr>
                <m:ctrlPr>
                  <w:rPr>
                    <w:rFonts w:ascii="Cambria Math" w:hAnsi="Cambria Math"/>
                    <w:szCs w:val="24"/>
                    <w:vertAlign w:val="subscript"/>
                  </w:rPr>
                </m:ctrlPr>
              </m:sSubPr>
              <m:e>
                <m:r>
                  <m:rPr>
                    <m:sty m:val="p"/>
                  </m:rPr>
                  <w:rPr>
                    <w:rFonts w:ascii="Cambria Math"/>
                    <w:szCs w:val="24"/>
                    <w:vertAlign w:val="subscript"/>
                  </w:rPr>
                  <m:t>M</m:t>
                </m:r>
              </m:e>
              <m:sub>
                <m:r>
                  <m:rPr>
                    <m:sty m:val="p"/>
                  </m:rPr>
                  <w:rPr>
                    <w:rFonts w:ascii="Cambria Math"/>
                    <w:szCs w:val="24"/>
                    <w:vertAlign w:val="subscript"/>
                  </w:rPr>
                  <m:t>r</m:t>
                </m:r>
              </m:sub>
            </m:sSub>
            <m:d>
              <m:dPr>
                <m:ctrlPr>
                  <w:rPr>
                    <w:rFonts w:ascii="Cambria Math" w:hAnsi="Cambria Math"/>
                    <w:szCs w:val="24"/>
                    <w:vertAlign w:val="subscript"/>
                  </w:rPr>
                </m:ctrlPr>
              </m:dPr>
              <m:e>
                <m:r>
                  <m:rPr>
                    <m:sty m:val="p"/>
                  </m:rPr>
                  <w:rPr>
                    <w:rFonts w:ascii="Cambria Math" w:hAnsi="Cambria Math"/>
                    <w:szCs w:val="24"/>
                  </w:rPr>
                  <m:t>λ</m:t>
                </m:r>
              </m:e>
            </m:d>
          </m:num>
          <m:den>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d>
              <m:dPr>
                <m:ctrlPr>
                  <w:rPr>
                    <w:rFonts w:ascii="Cambria Math" w:hAnsi="Cambria Math"/>
                    <w:i/>
                    <w:szCs w:val="24"/>
                  </w:rPr>
                </m:ctrlPr>
              </m:dPr>
              <m:e>
                <m:r>
                  <m:rPr>
                    <m:sty m:val="p"/>
                  </m:rPr>
                  <w:rPr>
                    <w:rFonts w:ascii="Cambria Math" w:hAnsi="Cambria Math"/>
                    <w:szCs w:val="24"/>
                  </w:rPr>
                  <m:t>λ</m:t>
                </m:r>
              </m:e>
            </m:d>
          </m:den>
        </m:f>
        <m:r>
          <w:rPr>
            <w:rFonts w:ascii="Cambria Math" w:hAnsi="Cambria Math"/>
            <w:szCs w:val="24"/>
          </w:rPr>
          <m:t xml:space="preserve">*100 </m:t>
        </m:r>
        <m:r>
          <w:rPr>
            <w:rFonts w:ascii="Cambria Math" w:hAnsi="Cambria Math"/>
            <w:szCs w:val="24"/>
            <w:lang w:val="en-GB"/>
          </w:rPr>
          <m:t>[</m:t>
        </m:r>
        <m:r>
          <w:rPr>
            <w:rFonts w:ascii="Cambria Math" w:hAnsi="Cambria Math"/>
            <w:szCs w:val="24"/>
          </w:rPr>
          <m:t>%]</m:t>
        </m:r>
      </m:oMath>
      <w:r w:rsidRPr="009C06D4">
        <w:rPr>
          <w:szCs w:val="24"/>
        </w:rPr>
        <w:t>“</w:t>
      </w:r>
    </w:p>
    <w:p w:rsidR="00214E68" w:rsidRPr="0009745B" w:rsidRDefault="00214E68" w:rsidP="00214E68">
      <w:pPr>
        <w:pStyle w:val="Odstavecseseznamem"/>
        <w:ind w:left="0"/>
        <w:jc w:val="center"/>
        <w:rPr>
          <w:i/>
          <w:szCs w:val="24"/>
        </w:rPr>
      </w:pPr>
    </w:p>
    <w:p w:rsidR="00214E68" w:rsidRDefault="00214E68" w:rsidP="00214E68">
      <w:r>
        <w:rPr>
          <w:szCs w:val="24"/>
        </w:rPr>
        <w:lastRenderedPageBreak/>
        <w:tab/>
        <w:t xml:space="preserve">Lze konstatovat, že každá látka se na zemském povrchu vyznačuje vlastní spektrální charakteristikou. Odráží-li objekt málo světla, bude se na snímku jevit jako tmavý a naopak. Projevem spektrálního chování objektů je tzv. spektrální křivka odrazivosti. Tato křivka znázorňuje závislost mezi odrazivostí a vlnovou délkou pro daný objekt </w:t>
      </w:r>
      <w:r w:rsidR="00202E60">
        <w:t>[3]</w:t>
      </w:r>
      <w:r>
        <w:t xml:space="preserve"> </w:t>
      </w:r>
      <w:r w:rsidR="00202E60">
        <w:t>.</w:t>
      </w:r>
      <w:bookmarkStart w:id="1" w:name="_GoBack"/>
      <w:bookmarkEnd w:id="1"/>
    </w:p>
    <w:p w:rsidR="00214E68" w:rsidRPr="00214E68" w:rsidRDefault="00214E68" w:rsidP="00214E68">
      <w:pPr>
        <w:rPr>
          <w:b/>
        </w:rPr>
      </w:pPr>
      <w:bookmarkStart w:id="2" w:name="_Toc450640281"/>
      <w:r w:rsidRPr="00214E68">
        <w:rPr>
          <w:b/>
        </w:rPr>
        <w:t>ZPRACOVÁNÍ DAT</w:t>
      </w:r>
      <w:bookmarkEnd w:id="2"/>
    </w:p>
    <w:p w:rsidR="00214E68" w:rsidRPr="00214E68" w:rsidRDefault="00214E68" w:rsidP="00214E68">
      <w:pPr>
        <w:spacing w:after="200" w:line="276" w:lineRule="auto"/>
        <w:jc w:val="both"/>
        <w:rPr>
          <w:rFonts w:ascii="Times New Roman" w:hAnsi="Times New Roman"/>
          <w:sz w:val="24"/>
        </w:rPr>
      </w:pPr>
    </w:p>
    <w:p w:rsidR="00214E68" w:rsidRPr="00214E68" w:rsidRDefault="00214E68" w:rsidP="00214E68">
      <w:pPr>
        <w:spacing w:after="200" w:line="276" w:lineRule="auto"/>
        <w:jc w:val="both"/>
        <w:rPr>
          <w:rFonts w:ascii="Times New Roman" w:hAnsi="Times New Roman"/>
          <w:sz w:val="24"/>
        </w:rPr>
      </w:pPr>
      <w:r w:rsidRPr="00214E68">
        <w:rPr>
          <w:rFonts w:ascii="Times New Roman" w:hAnsi="Times New Roman"/>
          <w:sz w:val="24"/>
        </w:rPr>
        <w:tab/>
        <w:t xml:space="preserve">Tato kapitola shrnuje vlastní výzkum změn lesního porostu v CHKO Moravský kras. Popisuje použitá data, předzpracování snímků, zvýraznění obrazu pomocí spektrálních indexů, metody při klasifikaci obrazu (volba klasifikace a klasifikátoru) a post-klasifikační úpravy. </w:t>
      </w:r>
    </w:p>
    <w:p w:rsidR="00214E68" w:rsidRPr="00214E68" w:rsidRDefault="00214E68" w:rsidP="00214E68">
      <w:pPr>
        <w:rPr>
          <w:b/>
        </w:rPr>
      </w:pPr>
      <w:bookmarkStart w:id="3" w:name="_Toc450640282"/>
      <w:r w:rsidRPr="00214E68">
        <w:rPr>
          <w:b/>
        </w:rPr>
        <w:t>Použitá data</w:t>
      </w:r>
      <w:bookmarkEnd w:id="3"/>
    </w:p>
    <w:p w:rsidR="00214E68" w:rsidRPr="00214E68" w:rsidRDefault="00214E68" w:rsidP="00214E68">
      <w:pPr>
        <w:spacing w:after="0" w:line="276" w:lineRule="auto"/>
        <w:jc w:val="both"/>
        <w:rPr>
          <w:rFonts w:ascii="Times New Roman" w:hAnsi="Times New Roman"/>
          <w:sz w:val="12"/>
          <w:szCs w:val="12"/>
        </w:rPr>
      </w:pPr>
    </w:p>
    <w:p w:rsidR="00214E68" w:rsidRPr="00214E68" w:rsidRDefault="00214E68" w:rsidP="00214E68">
      <w:pPr>
        <w:spacing w:after="0" w:line="276" w:lineRule="auto"/>
        <w:jc w:val="both"/>
        <w:rPr>
          <w:rFonts w:ascii="Times New Roman" w:hAnsi="Times New Roman"/>
          <w:sz w:val="24"/>
        </w:rPr>
      </w:pPr>
      <w:r w:rsidRPr="00214E68">
        <w:rPr>
          <w:rFonts w:ascii="Times New Roman" w:hAnsi="Times New Roman"/>
          <w:sz w:val="24"/>
        </w:rPr>
        <w:tab/>
        <w:t xml:space="preserve">Ke sledování změn lesního porostu v CHKO Moravský kras byly využity snímky z družic systému </w:t>
      </w:r>
      <w:proofErr w:type="spellStart"/>
      <w:r w:rsidRPr="00214E68">
        <w:rPr>
          <w:rFonts w:ascii="Times New Roman" w:hAnsi="Times New Roman"/>
          <w:sz w:val="24"/>
        </w:rPr>
        <w:t>Landsat</w:t>
      </w:r>
      <w:proofErr w:type="spellEnd"/>
      <w:r w:rsidRPr="00214E68">
        <w:rPr>
          <w:rFonts w:ascii="Times New Roman" w:hAnsi="Times New Roman"/>
          <w:sz w:val="24"/>
        </w:rPr>
        <w:t>. Snímky jsou volně dostupné na stránkách společnosti U. S. </w:t>
      </w:r>
      <w:proofErr w:type="spellStart"/>
      <w:r w:rsidRPr="00214E68">
        <w:rPr>
          <w:rFonts w:ascii="Times New Roman" w:hAnsi="Times New Roman"/>
          <w:sz w:val="24"/>
        </w:rPr>
        <w:t>Geological</w:t>
      </w:r>
      <w:proofErr w:type="spellEnd"/>
      <w:r w:rsidRPr="00214E68">
        <w:rPr>
          <w:rFonts w:ascii="Times New Roman" w:hAnsi="Times New Roman"/>
          <w:sz w:val="24"/>
        </w:rPr>
        <w:t> </w:t>
      </w:r>
      <w:proofErr w:type="spellStart"/>
      <w:r w:rsidRPr="00214E68">
        <w:rPr>
          <w:rFonts w:ascii="Times New Roman" w:hAnsi="Times New Roman"/>
          <w:sz w:val="24"/>
        </w:rPr>
        <w:t>Survey</w:t>
      </w:r>
      <w:proofErr w:type="spellEnd"/>
      <w:r w:rsidRPr="00214E68">
        <w:rPr>
          <w:rFonts w:ascii="Times New Roman" w:hAnsi="Times New Roman"/>
          <w:sz w:val="24"/>
        </w:rPr>
        <w:t> (USGS). Ke sledování změn je vhodné použít snímky z různých let a vytvořit tak časovou řadu. Podle zadaných parametrů (období nasnímání červen až srpen, oblačnost do 10 %) byly stáhnuty snímky z let 1983 (</w:t>
      </w:r>
      <w:proofErr w:type="spellStart"/>
      <w:r w:rsidRPr="00214E68">
        <w:rPr>
          <w:rFonts w:ascii="Times New Roman" w:hAnsi="Times New Roman"/>
          <w:sz w:val="24"/>
        </w:rPr>
        <w:t>Landsat</w:t>
      </w:r>
      <w:proofErr w:type="spellEnd"/>
      <w:r w:rsidRPr="00214E68">
        <w:rPr>
          <w:rFonts w:ascii="Times New Roman" w:hAnsi="Times New Roman"/>
          <w:sz w:val="24"/>
        </w:rPr>
        <w:t xml:space="preserve"> 4), 2000 (</w:t>
      </w:r>
      <w:proofErr w:type="spellStart"/>
      <w:r w:rsidRPr="00214E68">
        <w:rPr>
          <w:rFonts w:ascii="Times New Roman" w:hAnsi="Times New Roman"/>
          <w:sz w:val="24"/>
        </w:rPr>
        <w:t>Landsat</w:t>
      </w:r>
      <w:proofErr w:type="spellEnd"/>
      <w:r w:rsidRPr="00214E68">
        <w:rPr>
          <w:rFonts w:ascii="Times New Roman" w:hAnsi="Times New Roman"/>
          <w:sz w:val="24"/>
        </w:rPr>
        <w:t xml:space="preserve"> 7) a 2015 (</w:t>
      </w:r>
      <w:proofErr w:type="spellStart"/>
      <w:r w:rsidRPr="00214E68">
        <w:rPr>
          <w:rFonts w:ascii="Times New Roman" w:hAnsi="Times New Roman"/>
          <w:sz w:val="24"/>
        </w:rPr>
        <w:t>Landsat</w:t>
      </w:r>
      <w:proofErr w:type="spellEnd"/>
      <w:r w:rsidRPr="00214E68">
        <w:rPr>
          <w:rFonts w:ascii="Times New Roman" w:hAnsi="Times New Roman"/>
          <w:sz w:val="24"/>
        </w:rPr>
        <w:t xml:space="preserve"> 8). První dva snímky jsou ze srpna a nejnovější snímek je z července. Snímky jsou v souřadnicovém systému UTM 33 N na elipsoidu WGS 84.</w:t>
      </w:r>
    </w:p>
    <w:p w:rsidR="00214E68" w:rsidRPr="00214E68" w:rsidRDefault="00214E68" w:rsidP="00214E68">
      <w:pPr>
        <w:spacing w:after="0" w:line="276" w:lineRule="auto"/>
        <w:jc w:val="both"/>
        <w:rPr>
          <w:rFonts w:ascii="Times New Roman" w:hAnsi="Times New Roman"/>
          <w:sz w:val="24"/>
        </w:rPr>
      </w:pPr>
      <w:r w:rsidRPr="00214E68">
        <w:rPr>
          <w:rFonts w:ascii="Times New Roman" w:hAnsi="Times New Roman"/>
          <w:sz w:val="24"/>
        </w:rPr>
        <w:t xml:space="preserve"> </w:t>
      </w:r>
    </w:p>
    <w:p w:rsidR="00214E68" w:rsidRPr="00214E68" w:rsidRDefault="00214E68" w:rsidP="00214E68">
      <w:bookmarkStart w:id="4" w:name="_Toc450640283"/>
      <w:proofErr w:type="spellStart"/>
      <w:r w:rsidRPr="00214E68">
        <w:t>Landsat</w:t>
      </w:r>
      <w:bookmarkEnd w:id="4"/>
      <w:proofErr w:type="spellEnd"/>
    </w:p>
    <w:p w:rsidR="00214E68" w:rsidRPr="00214E68" w:rsidRDefault="00214E68" w:rsidP="00214E68">
      <w:pPr>
        <w:spacing w:after="200" w:line="276" w:lineRule="auto"/>
        <w:jc w:val="both"/>
        <w:rPr>
          <w:rFonts w:ascii="Times New Roman" w:hAnsi="Times New Roman"/>
          <w:sz w:val="12"/>
          <w:szCs w:val="12"/>
        </w:rPr>
      </w:pPr>
    </w:p>
    <w:p w:rsidR="00214E68" w:rsidRPr="00214E68" w:rsidRDefault="00214E68" w:rsidP="00214E68">
      <w:pPr>
        <w:spacing w:after="200" w:line="276" w:lineRule="auto"/>
        <w:jc w:val="both"/>
        <w:rPr>
          <w:rFonts w:ascii="Times New Roman" w:hAnsi="Times New Roman"/>
          <w:sz w:val="24"/>
        </w:rPr>
      </w:pPr>
      <w:r w:rsidRPr="00214E68">
        <w:rPr>
          <w:rFonts w:ascii="Times New Roman" w:hAnsi="Times New Roman"/>
          <w:sz w:val="24"/>
        </w:rPr>
        <w:tab/>
        <w:t xml:space="preserve">Program </w:t>
      </w:r>
      <w:proofErr w:type="spellStart"/>
      <w:r w:rsidRPr="00214E68">
        <w:rPr>
          <w:rFonts w:ascii="Times New Roman" w:hAnsi="Times New Roman"/>
          <w:sz w:val="24"/>
        </w:rPr>
        <w:t>Landsat</w:t>
      </w:r>
      <w:proofErr w:type="spellEnd"/>
      <w:r w:rsidRPr="00214E68">
        <w:rPr>
          <w:rFonts w:ascii="Times New Roman" w:hAnsi="Times New Roman"/>
          <w:sz w:val="24"/>
        </w:rPr>
        <w:t xml:space="preserve"> je řízen společnostmi </w:t>
      </w:r>
      <w:proofErr w:type="spellStart"/>
      <w:r w:rsidRPr="00214E68">
        <w:rPr>
          <w:rFonts w:ascii="Times New Roman" w:hAnsi="Times New Roman"/>
          <w:bCs/>
          <w:sz w:val="24"/>
        </w:rPr>
        <w:t>National</w:t>
      </w:r>
      <w:proofErr w:type="spellEnd"/>
      <w:r w:rsidRPr="00214E68">
        <w:rPr>
          <w:rFonts w:ascii="Times New Roman" w:hAnsi="Times New Roman"/>
          <w:bCs/>
          <w:sz w:val="24"/>
        </w:rPr>
        <w:t xml:space="preserve"> </w:t>
      </w:r>
      <w:proofErr w:type="spellStart"/>
      <w:r w:rsidRPr="00214E68">
        <w:rPr>
          <w:rFonts w:ascii="Times New Roman" w:hAnsi="Times New Roman"/>
          <w:bCs/>
          <w:sz w:val="24"/>
        </w:rPr>
        <w:t>Aeronautics</w:t>
      </w:r>
      <w:proofErr w:type="spellEnd"/>
      <w:r w:rsidRPr="00214E68">
        <w:rPr>
          <w:rFonts w:ascii="Times New Roman" w:hAnsi="Times New Roman"/>
          <w:bCs/>
          <w:sz w:val="24"/>
        </w:rPr>
        <w:t xml:space="preserve"> and </w:t>
      </w:r>
      <w:proofErr w:type="spellStart"/>
      <w:r w:rsidRPr="00214E68">
        <w:rPr>
          <w:rFonts w:ascii="Times New Roman" w:hAnsi="Times New Roman"/>
          <w:bCs/>
          <w:sz w:val="24"/>
        </w:rPr>
        <w:t>Space</w:t>
      </w:r>
      <w:proofErr w:type="spellEnd"/>
      <w:r w:rsidRPr="00214E68">
        <w:rPr>
          <w:rFonts w:ascii="Times New Roman" w:hAnsi="Times New Roman"/>
          <w:bCs/>
          <w:sz w:val="24"/>
        </w:rPr>
        <w:t xml:space="preserve"> </w:t>
      </w:r>
      <w:proofErr w:type="spellStart"/>
      <w:r w:rsidRPr="00214E68">
        <w:rPr>
          <w:rFonts w:ascii="Times New Roman" w:hAnsi="Times New Roman"/>
          <w:bCs/>
          <w:sz w:val="24"/>
        </w:rPr>
        <w:t>Administration</w:t>
      </w:r>
      <w:proofErr w:type="spellEnd"/>
      <w:r w:rsidRPr="00214E68">
        <w:rPr>
          <w:rFonts w:ascii="Times New Roman" w:hAnsi="Times New Roman"/>
          <w:sz w:val="24"/>
        </w:rPr>
        <w:t xml:space="preserve"> (NASA) a USGS. První družice byla vypuštěna v roce 1972. Následně bylo na oběžnou dráhu vypuštěno dalších 7 družic. </w:t>
      </w:r>
      <w:proofErr w:type="spellStart"/>
      <w:r w:rsidRPr="00214E68">
        <w:rPr>
          <w:rFonts w:ascii="Times New Roman" w:hAnsi="Times New Roman"/>
          <w:sz w:val="24"/>
        </w:rPr>
        <w:t>Landsat</w:t>
      </w:r>
      <w:proofErr w:type="spellEnd"/>
      <w:r w:rsidRPr="00214E68">
        <w:rPr>
          <w:rFonts w:ascii="Times New Roman" w:hAnsi="Times New Roman"/>
          <w:sz w:val="24"/>
        </w:rPr>
        <w:t xml:space="preserve"> 6 havarovala při startu, proto jsou snímky pouze ze sedmi družic. Družice </w:t>
      </w:r>
      <w:proofErr w:type="spellStart"/>
      <w:r w:rsidRPr="00214E68">
        <w:rPr>
          <w:rFonts w:ascii="Times New Roman" w:hAnsi="Times New Roman"/>
          <w:sz w:val="24"/>
        </w:rPr>
        <w:t>Landsat</w:t>
      </w:r>
      <w:proofErr w:type="spellEnd"/>
      <w:r w:rsidRPr="00214E68">
        <w:rPr>
          <w:rFonts w:ascii="Times New Roman" w:hAnsi="Times New Roman"/>
          <w:sz w:val="24"/>
        </w:rPr>
        <w:t xml:space="preserve"> 1 až 3 nesly </w:t>
      </w:r>
      <w:proofErr w:type="gramStart"/>
      <w:r w:rsidRPr="00214E68">
        <w:rPr>
          <w:rFonts w:ascii="Times New Roman" w:hAnsi="Times New Roman"/>
          <w:sz w:val="24"/>
        </w:rPr>
        <w:t>senzor  RBV</w:t>
      </w:r>
      <w:proofErr w:type="gramEnd"/>
      <w:r w:rsidRPr="00214E68">
        <w:rPr>
          <w:rFonts w:ascii="Times New Roman" w:hAnsi="Times New Roman"/>
          <w:sz w:val="24"/>
        </w:rPr>
        <w:t xml:space="preserve"> (Return </w:t>
      </w:r>
      <w:proofErr w:type="spellStart"/>
      <w:r w:rsidRPr="00214E68">
        <w:rPr>
          <w:rFonts w:ascii="Times New Roman" w:hAnsi="Times New Roman"/>
          <w:sz w:val="24"/>
        </w:rPr>
        <w:t>Beam</w:t>
      </w:r>
      <w:proofErr w:type="spellEnd"/>
      <w:r w:rsidRPr="00214E68">
        <w:rPr>
          <w:rFonts w:ascii="Times New Roman" w:hAnsi="Times New Roman"/>
          <w:sz w:val="24"/>
        </w:rPr>
        <w:t xml:space="preserve"> </w:t>
      </w:r>
      <w:proofErr w:type="spellStart"/>
      <w:r w:rsidRPr="00214E68">
        <w:rPr>
          <w:rFonts w:ascii="Times New Roman" w:hAnsi="Times New Roman"/>
          <w:sz w:val="24"/>
        </w:rPr>
        <w:t>Vidicon</w:t>
      </w:r>
      <w:proofErr w:type="spellEnd"/>
      <w:r w:rsidRPr="00214E68">
        <w:rPr>
          <w:rFonts w:ascii="Times New Roman" w:hAnsi="Times New Roman"/>
          <w:sz w:val="24"/>
        </w:rPr>
        <w:t>) a multispektrální skener MSS (</w:t>
      </w:r>
      <w:proofErr w:type="spellStart"/>
      <w:r w:rsidRPr="00214E68">
        <w:rPr>
          <w:rFonts w:ascii="Times New Roman" w:hAnsi="Times New Roman"/>
          <w:sz w:val="24"/>
        </w:rPr>
        <w:t>Multispectral</w:t>
      </w:r>
      <w:proofErr w:type="spellEnd"/>
      <w:r w:rsidRPr="00214E68">
        <w:rPr>
          <w:rFonts w:ascii="Times New Roman" w:hAnsi="Times New Roman"/>
          <w:sz w:val="24"/>
        </w:rPr>
        <w:t xml:space="preserve"> Scanner). Jejich časové rozlišení (doba, za kterou se družice vrací do výchozí pozice) bylo 18 dnů. Následující družice (</w:t>
      </w:r>
      <w:proofErr w:type="spellStart"/>
      <w:r w:rsidRPr="00214E68">
        <w:rPr>
          <w:rFonts w:ascii="Times New Roman" w:hAnsi="Times New Roman"/>
          <w:sz w:val="24"/>
        </w:rPr>
        <w:t>Landsat</w:t>
      </w:r>
      <w:proofErr w:type="spellEnd"/>
      <w:r w:rsidRPr="00214E68">
        <w:rPr>
          <w:rFonts w:ascii="Times New Roman" w:hAnsi="Times New Roman"/>
          <w:sz w:val="24"/>
        </w:rPr>
        <w:t xml:space="preserve"> </w:t>
      </w:r>
      <w:proofErr w:type="gramStart"/>
      <w:r w:rsidRPr="00214E68">
        <w:rPr>
          <w:rFonts w:ascii="Times New Roman" w:hAnsi="Times New Roman"/>
          <w:sz w:val="24"/>
        </w:rPr>
        <w:t>4 - 8</w:t>
      </w:r>
      <w:proofErr w:type="gramEnd"/>
      <w:r w:rsidRPr="00214E68">
        <w:rPr>
          <w:rFonts w:ascii="Times New Roman" w:hAnsi="Times New Roman"/>
          <w:sz w:val="24"/>
        </w:rPr>
        <w:t>) nesly opět skener MSS a nově skener TM (</w:t>
      </w:r>
      <w:proofErr w:type="spellStart"/>
      <w:r w:rsidRPr="00214E68">
        <w:rPr>
          <w:rFonts w:ascii="Times New Roman" w:hAnsi="Times New Roman"/>
          <w:sz w:val="24"/>
        </w:rPr>
        <w:t>Thematic</w:t>
      </w:r>
      <w:proofErr w:type="spellEnd"/>
      <w:r w:rsidRPr="00214E68">
        <w:rPr>
          <w:rFonts w:ascii="Times New Roman" w:hAnsi="Times New Roman"/>
          <w:sz w:val="24"/>
        </w:rPr>
        <w:t xml:space="preserve"> </w:t>
      </w:r>
      <w:proofErr w:type="spellStart"/>
      <w:r w:rsidRPr="00214E68">
        <w:rPr>
          <w:rFonts w:ascii="Times New Roman" w:hAnsi="Times New Roman"/>
          <w:sz w:val="24"/>
        </w:rPr>
        <w:t>Mapper</w:t>
      </w:r>
      <w:proofErr w:type="spellEnd"/>
      <w:r w:rsidRPr="00214E68">
        <w:rPr>
          <w:rFonts w:ascii="Times New Roman" w:hAnsi="Times New Roman"/>
          <w:sz w:val="24"/>
        </w:rPr>
        <w:t>). Jejich časové rozlišení je pouze 16 dnů. Oběžná dráha družic je subpolární a vzhledem ke Slunci mají vždy stejnou polohu (</w:t>
      </w:r>
      <w:proofErr w:type="spellStart"/>
      <w:r w:rsidRPr="00214E68">
        <w:rPr>
          <w:rFonts w:ascii="Times New Roman" w:hAnsi="Times New Roman"/>
          <w:smallCaps/>
          <w:sz w:val="24"/>
          <w:szCs w:val="24"/>
        </w:rPr>
        <w:t>Gisat</w:t>
      </w:r>
      <w:proofErr w:type="spellEnd"/>
      <w:r w:rsidRPr="00214E68">
        <w:rPr>
          <w:rFonts w:ascii="Times New Roman" w:hAnsi="Times New Roman"/>
          <w:sz w:val="24"/>
        </w:rPr>
        <w:t>, </w:t>
      </w:r>
      <w:proofErr w:type="gramStart"/>
      <w:r w:rsidRPr="00214E68">
        <w:rPr>
          <w:rFonts w:ascii="Times New Roman" w:hAnsi="Times New Roman"/>
          <w:sz w:val="24"/>
        </w:rPr>
        <w:t>2016b</w:t>
      </w:r>
      <w:proofErr w:type="gramEnd"/>
      <w:r w:rsidRPr="00214E68">
        <w:rPr>
          <w:rFonts w:ascii="Times New Roman" w:hAnsi="Times New Roman"/>
          <w:sz w:val="24"/>
        </w:rPr>
        <w:t xml:space="preserve">). </w:t>
      </w:r>
    </w:p>
    <w:p w:rsidR="00214E68" w:rsidRPr="00214E68" w:rsidRDefault="00214E68" w:rsidP="00214E68">
      <w:pPr>
        <w:spacing w:after="200" w:line="276" w:lineRule="auto"/>
        <w:jc w:val="both"/>
        <w:rPr>
          <w:rFonts w:ascii="Times New Roman" w:hAnsi="Times New Roman"/>
          <w:sz w:val="24"/>
        </w:rPr>
      </w:pPr>
      <w:r w:rsidRPr="00214E68">
        <w:rPr>
          <w:rFonts w:ascii="Times New Roman" w:hAnsi="Times New Roman"/>
          <w:sz w:val="24"/>
        </w:rPr>
        <w:tab/>
        <w:t xml:space="preserve">Družice </w:t>
      </w:r>
      <w:proofErr w:type="spellStart"/>
      <w:r w:rsidRPr="00214E68">
        <w:rPr>
          <w:rFonts w:ascii="Times New Roman" w:hAnsi="Times New Roman"/>
          <w:sz w:val="24"/>
        </w:rPr>
        <w:t>Landsat</w:t>
      </w:r>
      <w:proofErr w:type="spellEnd"/>
      <w:r w:rsidRPr="00214E68">
        <w:rPr>
          <w:rFonts w:ascii="Times New Roman" w:hAnsi="Times New Roman"/>
          <w:sz w:val="24"/>
        </w:rPr>
        <w:t xml:space="preserve"> 4 byla vypuštěna 16. července 1982 a odstavena z provozu v roce 2001. Použitý snímek byl nasnímán skenerem MSS. Základní charakteristiky tohoto skeneru jsou znázorněny v tabulce číslo 1. Radiometrické rozlišení je 8 bitů. Obraz je tedy zaznamenáván do 256 úrovní. Skener zaznamenává 4 části spektra (USGS, </w:t>
      </w:r>
      <w:proofErr w:type="gramStart"/>
      <w:r w:rsidRPr="00214E68">
        <w:rPr>
          <w:rFonts w:ascii="Times New Roman" w:hAnsi="Times New Roman"/>
          <w:sz w:val="24"/>
        </w:rPr>
        <w:t>2013a</w:t>
      </w:r>
      <w:proofErr w:type="gramEnd"/>
      <w:r w:rsidRPr="00214E68">
        <w:rPr>
          <w:rFonts w:ascii="Times New Roman" w:hAnsi="Times New Roman"/>
          <w:sz w:val="24"/>
        </w:rPr>
        <w:t xml:space="preserve">).   </w:t>
      </w:r>
    </w:p>
    <w:p w:rsidR="00214E68" w:rsidRPr="00214E68" w:rsidRDefault="00214E68" w:rsidP="00214E68">
      <w:pPr>
        <w:spacing w:after="0" w:line="276" w:lineRule="auto"/>
        <w:jc w:val="center"/>
        <w:rPr>
          <w:rFonts w:ascii="Times New Roman" w:hAnsi="Times New Roman"/>
        </w:rPr>
      </w:pPr>
      <w:r w:rsidRPr="00214E68">
        <w:rPr>
          <w:rFonts w:ascii="Times New Roman" w:hAnsi="Times New Roman"/>
        </w:rPr>
        <w:t xml:space="preserve">Tab. 1 Základní charakteristiky skeneru MSS na družici </w:t>
      </w:r>
      <w:proofErr w:type="spellStart"/>
      <w:r w:rsidRPr="00214E68">
        <w:rPr>
          <w:rFonts w:ascii="Times New Roman" w:hAnsi="Times New Roman"/>
        </w:rPr>
        <w:t>Landsat</w:t>
      </w:r>
      <w:proofErr w:type="spellEnd"/>
      <w:r w:rsidRPr="00214E68">
        <w:rPr>
          <w:rFonts w:ascii="Times New Roman" w:hAnsi="Times New Roman"/>
        </w:rPr>
        <w:t xml:space="preserve"> 4</w:t>
      </w:r>
    </w:p>
    <w:tbl>
      <w:tblPr>
        <w:tblW w:w="4760" w:type="dxa"/>
        <w:jc w:val="center"/>
        <w:tblCellMar>
          <w:left w:w="70" w:type="dxa"/>
          <w:right w:w="70" w:type="dxa"/>
        </w:tblCellMar>
        <w:tblLook w:val="04A0" w:firstRow="1" w:lastRow="0" w:firstColumn="1" w:lastColumn="0" w:noHBand="0" w:noVBand="1"/>
      </w:tblPr>
      <w:tblGrid>
        <w:gridCol w:w="820"/>
        <w:gridCol w:w="1060"/>
        <w:gridCol w:w="1420"/>
        <w:gridCol w:w="1460"/>
      </w:tblGrid>
      <w:tr w:rsidR="00214E68" w:rsidRPr="00214E68" w:rsidTr="00F954A2">
        <w:trPr>
          <w:trHeight w:val="600"/>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b/>
                <w:bCs/>
                <w:color w:val="000000"/>
                <w:sz w:val="24"/>
                <w:lang w:eastAsia="cs-CZ"/>
              </w:rPr>
            </w:pPr>
            <w:r w:rsidRPr="00214E68">
              <w:rPr>
                <w:rFonts w:eastAsia="Times New Roman"/>
                <w:b/>
                <w:bCs/>
                <w:color w:val="000000"/>
                <w:lang w:eastAsia="cs-CZ"/>
              </w:rPr>
              <w:t>Pásmo</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b/>
                <w:bCs/>
                <w:color w:val="000000"/>
                <w:sz w:val="24"/>
                <w:lang w:eastAsia="cs-CZ"/>
              </w:rPr>
            </w:pPr>
            <w:r w:rsidRPr="00214E68">
              <w:rPr>
                <w:rFonts w:eastAsia="Times New Roman"/>
                <w:b/>
                <w:bCs/>
                <w:color w:val="000000"/>
                <w:lang w:eastAsia="cs-CZ"/>
              </w:rPr>
              <w:t>Spektrum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E68" w:rsidRPr="00214E68" w:rsidRDefault="00214E68" w:rsidP="00214E68">
            <w:pPr>
              <w:spacing w:after="0" w:line="240" w:lineRule="auto"/>
              <w:jc w:val="center"/>
              <w:rPr>
                <w:rFonts w:eastAsia="Times New Roman"/>
                <w:b/>
                <w:bCs/>
                <w:color w:val="000000"/>
                <w:sz w:val="24"/>
                <w:lang w:eastAsia="cs-CZ"/>
              </w:rPr>
            </w:pPr>
            <w:r w:rsidRPr="00214E68">
              <w:rPr>
                <w:rFonts w:eastAsia="Times New Roman"/>
                <w:b/>
                <w:bCs/>
                <w:color w:val="000000"/>
                <w:lang w:eastAsia="cs-CZ"/>
              </w:rPr>
              <w:t>Vlnová délka [µm]</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4E68" w:rsidRPr="00214E68" w:rsidRDefault="00214E68" w:rsidP="00214E68">
            <w:pPr>
              <w:spacing w:after="0" w:line="240" w:lineRule="auto"/>
              <w:jc w:val="center"/>
              <w:rPr>
                <w:rFonts w:eastAsia="Times New Roman"/>
                <w:b/>
                <w:bCs/>
                <w:color w:val="000000"/>
                <w:sz w:val="24"/>
                <w:lang w:eastAsia="cs-CZ"/>
              </w:rPr>
            </w:pPr>
            <w:r w:rsidRPr="00214E68">
              <w:rPr>
                <w:rFonts w:eastAsia="Times New Roman"/>
                <w:b/>
                <w:bCs/>
                <w:color w:val="000000"/>
                <w:lang w:eastAsia="cs-CZ"/>
              </w:rPr>
              <w:t>Prostorové rozlišení [m]</w:t>
            </w:r>
          </w:p>
        </w:tc>
      </w:tr>
      <w:tr w:rsidR="00214E68" w:rsidRPr="00214E68" w:rsidTr="00F954A2">
        <w:trPr>
          <w:trHeight w:val="517"/>
          <w:jc w:val="cent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214E68" w:rsidRPr="00214E68" w:rsidRDefault="00214E68" w:rsidP="00214E68">
            <w:pPr>
              <w:spacing w:after="0" w:line="240" w:lineRule="auto"/>
              <w:rPr>
                <w:rFonts w:eastAsia="Times New Roman"/>
                <w:b/>
                <w:bCs/>
                <w:color w:val="000000"/>
                <w:sz w:val="24"/>
                <w:lang w:eastAsia="cs-CZ"/>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214E68" w:rsidRPr="00214E68" w:rsidRDefault="00214E68" w:rsidP="00214E68">
            <w:pPr>
              <w:spacing w:after="0" w:line="240" w:lineRule="auto"/>
              <w:rPr>
                <w:rFonts w:eastAsia="Times New Roman"/>
                <w:b/>
                <w:bCs/>
                <w:color w:val="000000"/>
                <w:sz w:val="24"/>
                <w:lang w:eastAsia="cs-CZ"/>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214E68" w:rsidRPr="00214E68" w:rsidRDefault="00214E68" w:rsidP="00214E68">
            <w:pPr>
              <w:spacing w:after="0" w:line="240" w:lineRule="auto"/>
              <w:rPr>
                <w:rFonts w:eastAsia="Times New Roman"/>
                <w:b/>
                <w:bCs/>
                <w:color w:val="000000"/>
                <w:sz w:val="24"/>
                <w:lang w:eastAsia="cs-CZ"/>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214E68" w:rsidRPr="00214E68" w:rsidRDefault="00214E68" w:rsidP="00214E68">
            <w:pPr>
              <w:spacing w:after="0" w:line="240" w:lineRule="auto"/>
              <w:rPr>
                <w:rFonts w:eastAsia="Times New Roman"/>
                <w:b/>
                <w:bCs/>
                <w:color w:val="000000"/>
                <w:sz w:val="24"/>
                <w:lang w:eastAsia="cs-CZ"/>
              </w:rPr>
            </w:pPr>
          </w:p>
        </w:tc>
      </w:tr>
      <w:tr w:rsidR="00214E68" w:rsidRPr="00214E68" w:rsidTr="00F954A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TM-4</w:t>
            </w:r>
          </w:p>
        </w:tc>
        <w:tc>
          <w:tcPr>
            <w:tcW w:w="10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VIS</w:t>
            </w:r>
          </w:p>
        </w:tc>
        <w:tc>
          <w:tcPr>
            <w:tcW w:w="142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0,5 - 0,6</w:t>
            </w:r>
          </w:p>
        </w:tc>
        <w:tc>
          <w:tcPr>
            <w:tcW w:w="14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80</w:t>
            </w:r>
          </w:p>
        </w:tc>
      </w:tr>
      <w:tr w:rsidR="00214E68" w:rsidRPr="00214E68" w:rsidTr="00F954A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TM-5</w:t>
            </w:r>
          </w:p>
        </w:tc>
        <w:tc>
          <w:tcPr>
            <w:tcW w:w="10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VIS</w:t>
            </w:r>
          </w:p>
        </w:tc>
        <w:tc>
          <w:tcPr>
            <w:tcW w:w="142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0,6 - 0,7</w:t>
            </w:r>
          </w:p>
        </w:tc>
        <w:tc>
          <w:tcPr>
            <w:tcW w:w="14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80</w:t>
            </w:r>
          </w:p>
        </w:tc>
      </w:tr>
      <w:tr w:rsidR="00214E68" w:rsidRPr="00214E68" w:rsidTr="00F954A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TM-6</w:t>
            </w:r>
          </w:p>
        </w:tc>
        <w:tc>
          <w:tcPr>
            <w:tcW w:w="10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NIR</w:t>
            </w:r>
          </w:p>
        </w:tc>
        <w:tc>
          <w:tcPr>
            <w:tcW w:w="142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0,7 - 0,8</w:t>
            </w:r>
          </w:p>
        </w:tc>
        <w:tc>
          <w:tcPr>
            <w:tcW w:w="14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80</w:t>
            </w:r>
          </w:p>
        </w:tc>
      </w:tr>
      <w:tr w:rsidR="00214E68" w:rsidRPr="00214E68" w:rsidTr="00F954A2">
        <w:trPr>
          <w:trHeight w:val="30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lastRenderedPageBreak/>
              <w:t>TM-7</w:t>
            </w:r>
          </w:p>
        </w:tc>
        <w:tc>
          <w:tcPr>
            <w:tcW w:w="10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NIR</w:t>
            </w:r>
          </w:p>
        </w:tc>
        <w:tc>
          <w:tcPr>
            <w:tcW w:w="142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0,8 - 1,1</w:t>
            </w:r>
          </w:p>
        </w:tc>
        <w:tc>
          <w:tcPr>
            <w:tcW w:w="1460" w:type="dxa"/>
            <w:tcBorders>
              <w:top w:val="nil"/>
              <w:left w:val="nil"/>
              <w:bottom w:val="single" w:sz="4" w:space="0" w:color="auto"/>
              <w:right w:val="single" w:sz="4" w:space="0" w:color="auto"/>
            </w:tcBorders>
            <w:shd w:val="clear" w:color="auto" w:fill="auto"/>
            <w:noWrap/>
            <w:vAlign w:val="center"/>
            <w:hideMark/>
          </w:tcPr>
          <w:p w:rsidR="00214E68" w:rsidRPr="00214E68" w:rsidRDefault="00214E68" w:rsidP="00214E68">
            <w:pPr>
              <w:spacing w:after="0" w:line="240" w:lineRule="auto"/>
              <w:jc w:val="center"/>
              <w:rPr>
                <w:rFonts w:eastAsia="Times New Roman"/>
                <w:color w:val="000000"/>
                <w:sz w:val="24"/>
                <w:lang w:eastAsia="cs-CZ"/>
              </w:rPr>
            </w:pPr>
            <w:r w:rsidRPr="00214E68">
              <w:rPr>
                <w:rFonts w:eastAsia="Times New Roman"/>
                <w:color w:val="000000"/>
                <w:lang w:eastAsia="cs-CZ"/>
              </w:rPr>
              <w:t>80</w:t>
            </w:r>
          </w:p>
        </w:tc>
      </w:tr>
    </w:tbl>
    <w:p w:rsidR="00214E68" w:rsidRPr="00214E68" w:rsidRDefault="00214E68" w:rsidP="00214E68">
      <w:pPr>
        <w:spacing w:after="0" w:line="276" w:lineRule="auto"/>
        <w:jc w:val="center"/>
        <w:rPr>
          <w:rFonts w:ascii="Times New Roman" w:hAnsi="Times New Roman"/>
          <w:sz w:val="6"/>
          <w:szCs w:val="6"/>
        </w:rPr>
      </w:pPr>
    </w:p>
    <w:p w:rsidR="00214E68" w:rsidRPr="00214E68" w:rsidRDefault="00214E68" w:rsidP="00214E68">
      <w:pPr>
        <w:spacing w:after="0" w:line="276" w:lineRule="auto"/>
        <w:jc w:val="center"/>
        <w:rPr>
          <w:rFonts w:ascii="Times New Roman" w:hAnsi="Times New Roman"/>
        </w:rPr>
      </w:pPr>
      <w:r w:rsidRPr="00214E68">
        <w:rPr>
          <w:rFonts w:ascii="Times New Roman" w:hAnsi="Times New Roman"/>
        </w:rPr>
        <w:t xml:space="preserve">Upraveno podle: USGS, </w:t>
      </w:r>
      <w:proofErr w:type="gramStart"/>
      <w:r w:rsidRPr="00214E68">
        <w:rPr>
          <w:rFonts w:ascii="Times New Roman" w:hAnsi="Times New Roman"/>
        </w:rPr>
        <w:t>2013a</w:t>
      </w:r>
      <w:proofErr w:type="gramEnd"/>
    </w:p>
    <w:p w:rsidR="00214E68" w:rsidRPr="00214E68" w:rsidRDefault="00214E68" w:rsidP="00214E68">
      <w:pPr>
        <w:spacing w:after="0" w:line="276" w:lineRule="auto"/>
        <w:jc w:val="both"/>
        <w:rPr>
          <w:rFonts w:ascii="Times New Roman" w:hAnsi="Times New Roman"/>
        </w:rPr>
      </w:pPr>
      <w:r w:rsidRPr="00214E68">
        <w:rPr>
          <w:rFonts w:ascii="Times New Roman" w:hAnsi="Times New Roman"/>
          <w:sz w:val="24"/>
        </w:rPr>
        <w:tab/>
        <w:t xml:space="preserve">Družice </w:t>
      </w:r>
      <w:proofErr w:type="spellStart"/>
      <w:r w:rsidRPr="00214E68">
        <w:rPr>
          <w:rFonts w:ascii="Times New Roman" w:hAnsi="Times New Roman"/>
          <w:sz w:val="24"/>
        </w:rPr>
        <w:t>Landsat</w:t>
      </w:r>
      <w:proofErr w:type="spellEnd"/>
      <w:r w:rsidRPr="00214E68">
        <w:rPr>
          <w:rFonts w:ascii="Times New Roman" w:hAnsi="Times New Roman"/>
          <w:sz w:val="24"/>
        </w:rPr>
        <w:t xml:space="preserve"> 7 snímá Zemi od 15. dubna 1999 dodnes. Družice nese senzor ETM+ (</w:t>
      </w:r>
      <w:proofErr w:type="spellStart"/>
      <w:r w:rsidRPr="00214E68">
        <w:rPr>
          <w:rFonts w:ascii="Times New Roman" w:hAnsi="Times New Roman"/>
          <w:sz w:val="24"/>
        </w:rPr>
        <w:t>Enhanced</w:t>
      </w:r>
      <w:proofErr w:type="spellEnd"/>
      <w:r w:rsidRPr="00214E68">
        <w:rPr>
          <w:rFonts w:ascii="Times New Roman" w:hAnsi="Times New Roman"/>
          <w:sz w:val="24"/>
        </w:rPr>
        <w:t xml:space="preserve"> </w:t>
      </w:r>
      <w:proofErr w:type="spellStart"/>
      <w:r w:rsidRPr="00214E68">
        <w:rPr>
          <w:rFonts w:ascii="Times New Roman" w:hAnsi="Times New Roman"/>
          <w:sz w:val="24"/>
        </w:rPr>
        <w:t>Thematic</w:t>
      </w:r>
      <w:proofErr w:type="spellEnd"/>
      <w:r w:rsidRPr="00214E68">
        <w:rPr>
          <w:rFonts w:ascii="Times New Roman" w:hAnsi="Times New Roman"/>
          <w:sz w:val="24"/>
        </w:rPr>
        <w:t xml:space="preserve"> </w:t>
      </w:r>
      <w:proofErr w:type="spellStart"/>
      <w:r w:rsidRPr="00214E68">
        <w:rPr>
          <w:rFonts w:ascii="Times New Roman" w:hAnsi="Times New Roman"/>
          <w:sz w:val="24"/>
        </w:rPr>
        <w:t>Mapper</w:t>
      </w:r>
      <w:proofErr w:type="spellEnd"/>
      <w:r w:rsidRPr="00214E68">
        <w:rPr>
          <w:rFonts w:ascii="Times New Roman" w:hAnsi="Times New Roman"/>
          <w:sz w:val="24"/>
        </w:rPr>
        <w:t xml:space="preserve"> Plus), který snímá v osmi spektrálních pásmech. Na rozdíl od družice </w:t>
      </w:r>
      <w:proofErr w:type="spellStart"/>
      <w:r w:rsidRPr="00214E68">
        <w:rPr>
          <w:rFonts w:ascii="Times New Roman" w:hAnsi="Times New Roman"/>
          <w:sz w:val="24"/>
        </w:rPr>
        <w:t>Landsat</w:t>
      </w:r>
      <w:proofErr w:type="spellEnd"/>
      <w:r w:rsidRPr="00214E68">
        <w:rPr>
          <w:rFonts w:ascii="Times New Roman" w:hAnsi="Times New Roman"/>
          <w:sz w:val="24"/>
        </w:rPr>
        <w:t xml:space="preserve"> 5 zachycuje i panchromatické pásmo. Radiometrické rozlišení je shodné s předchozí družicí, tedy 8 bitů. Další parametry jednotlivých kanálů jsou zřejmé z tabulky číslo 2 (USGS, </w:t>
      </w:r>
      <w:proofErr w:type="gramStart"/>
      <w:r w:rsidRPr="00214E68">
        <w:rPr>
          <w:rFonts w:ascii="Times New Roman" w:hAnsi="Times New Roman"/>
          <w:sz w:val="24"/>
        </w:rPr>
        <w:t>2013b</w:t>
      </w:r>
      <w:proofErr w:type="gramEnd"/>
      <w:r w:rsidRPr="00214E68">
        <w:rPr>
          <w:rFonts w:ascii="Times New Roman" w:hAnsi="Times New Roman"/>
          <w:sz w:val="24"/>
        </w:rPr>
        <w:t>).</w:t>
      </w:r>
      <w:r w:rsidRPr="00214E68">
        <w:rPr>
          <w:rFonts w:ascii="Times New Roman" w:hAnsi="Times New Roman"/>
        </w:rPr>
        <w:t xml:space="preserve"> </w:t>
      </w:r>
    </w:p>
    <w:p w:rsidR="00214E68" w:rsidRDefault="00214E68"/>
    <w:p w:rsidR="00E417DA" w:rsidRDefault="00E417DA"/>
    <w:p w:rsidR="00E417DA" w:rsidRDefault="00E417DA">
      <w:r>
        <w:t>Literatura</w:t>
      </w:r>
    </w:p>
    <w:p w:rsidR="00E417DA" w:rsidRPr="00072194" w:rsidRDefault="00E417DA" w:rsidP="00E417DA">
      <w:proofErr w:type="spellStart"/>
      <w:r w:rsidRPr="00072194">
        <w:rPr>
          <w:smallCaps/>
        </w:rPr>
        <w:t>Baig</w:t>
      </w:r>
      <w:proofErr w:type="spellEnd"/>
      <w:r w:rsidRPr="00072194">
        <w:rPr>
          <w:smallCaps/>
        </w:rPr>
        <w:t>, M. H. A.</w:t>
      </w:r>
      <w:r w:rsidRPr="00072194">
        <w:t xml:space="preserve"> </w:t>
      </w:r>
      <w:r w:rsidRPr="00072194">
        <w:rPr>
          <w:lang w:val="en-GB"/>
        </w:rPr>
        <w:t>[</w:t>
      </w:r>
      <w:r w:rsidRPr="00072194">
        <w:t>a kol.</w:t>
      </w:r>
      <w:r w:rsidRPr="00072194">
        <w:rPr>
          <w:lang w:val="en-GB"/>
        </w:rPr>
        <w:t>]</w:t>
      </w:r>
      <w:r w:rsidRPr="00072194">
        <w:t xml:space="preserve"> (2014): </w:t>
      </w:r>
      <w:proofErr w:type="spellStart"/>
      <w:r w:rsidRPr="00072194">
        <w:t>Derivation</w:t>
      </w:r>
      <w:proofErr w:type="spellEnd"/>
      <w:r w:rsidRPr="00072194">
        <w:t xml:space="preserve"> </w:t>
      </w:r>
      <w:proofErr w:type="spellStart"/>
      <w:r w:rsidRPr="00072194">
        <w:t>of</w:t>
      </w:r>
      <w:proofErr w:type="spellEnd"/>
      <w:r w:rsidRPr="00072194">
        <w:t xml:space="preserve"> a </w:t>
      </w:r>
      <w:proofErr w:type="spellStart"/>
      <w:r w:rsidRPr="00072194">
        <w:t>tasseled</w:t>
      </w:r>
      <w:proofErr w:type="spellEnd"/>
      <w:r w:rsidRPr="00072194">
        <w:t xml:space="preserve"> cap </w:t>
      </w:r>
      <w:proofErr w:type="spellStart"/>
      <w:r w:rsidRPr="00072194">
        <w:t>tranformation</w:t>
      </w:r>
      <w:proofErr w:type="spellEnd"/>
      <w:r w:rsidRPr="00072194">
        <w:t xml:space="preserve"> </w:t>
      </w:r>
      <w:proofErr w:type="spellStart"/>
      <w:r w:rsidRPr="00072194">
        <w:t>based</w:t>
      </w:r>
      <w:proofErr w:type="spellEnd"/>
      <w:r w:rsidRPr="00072194">
        <w:t xml:space="preserve"> on </w:t>
      </w:r>
      <w:proofErr w:type="spellStart"/>
      <w:r w:rsidRPr="00072194">
        <w:t>Landsat</w:t>
      </w:r>
      <w:proofErr w:type="spellEnd"/>
      <w:r w:rsidRPr="00072194">
        <w:t xml:space="preserve"> 8 </w:t>
      </w:r>
      <w:proofErr w:type="spellStart"/>
      <w:r w:rsidRPr="00072194">
        <w:t>at-satelitte</w:t>
      </w:r>
      <w:proofErr w:type="spellEnd"/>
      <w:r w:rsidRPr="00072194">
        <w:t xml:space="preserve"> </w:t>
      </w:r>
      <w:proofErr w:type="spellStart"/>
      <w:r w:rsidRPr="00072194">
        <w:t>reflectance</w:t>
      </w:r>
      <w:proofErr w:type="spellEnd"/>
      <w:r w:rsidRPr="00072194">
        <w:t xml:space="preserve">. </w:t>
      </w:r>
      <w:proofErr w:type="spellStart"/>
      <w:r w:rsidRPr="00072194">
        <w:t>Remote</w:t>
      </w:r>
      <w:proofErr w:type="spellEnd"/>
      <w:r w:rsidRPr="00072194">
        <w:t xml:space="preserve"> </w:t>
      </w:r>
      <w:proofErr w:type="spellStart"/>
      <w:r w:rsidRPr="00072194">
        <w:t>Sensing</w:t>
      </w:r>
      <w:proofErr w:type="spellEnd"/>
      <w:r w:rsidRPr="00072194">
        <w:t xml:space="preserve"> </w:t>
      </w:r>
      <w:proofErr w:type="spellStart"/>
      <w:r w:rsidRPr="00072194">
        <w:t>Letters</w:t>
      </w:r>
      <w:proofErr w:type="spellEnd"/>
      <w:r w:rsidRPr="00072194">
        <w:t xml:space="preserve">, ročník 5, č. 5, s. </w:t>
      </w:r>
      <w:proofErr w:type="gramStart"/>
      <w:r w:rsidRPr="00072194">
        <w:t>423 - 431</w:t>
      </w:r>
      <w:proofErr w:type="gramEnd"/>
      <w:r w:rsidRPr="00072194">
        <w:t xml:space="preserve"> </w:t>
      </w:r>
      <w:r w:rsidRPr="00072194">
        <w:rPr>
          <w:lang w:val="en-GB"/>
        </w:rPr>
        <w:t>[</w:t>
      </w:r>
      <w:r w:rsidRPr="00072194">
        <w:t>https://www.researchgate.net/publication/262005316_Derivation_of_a_tasselled_cap_transformation_based_on_Landsat_8_at-_satellite_reflectance (1. 4. 2016)]</w:t>
      </w:r>
    </w:p>
    <w:p w:rsidR="00E417DA" w:rsidRPr="00072194" w:rsidRDefault="00E417DA" w:rsidP="00E417DA">
      <w:proofErr w:type="spellStart"/>
      <w:r w:rsidRPr="00072194">
        <w:rPr>
          <w:smallCaps/>
        </w:rPr>
        <w:t>Büttner</w:t>
      </w:r>
      <w:proofErr w:type="spellEnd"/>
      <w:r w:rsidRPr="00072194">
        <w:rPr>
          <w:smallCaps/>
        </w:rPr>
        <w:t>, G.</w:t>
      </w:r>
      <w:r w:rsidRPr="00072194">
        <w:t xml:space="preserve"> (2014): CORINE Land </w:t>
      </w:r>
      <w:proofErr w:type="spellStart"/>
      <w:r w:rsidRPr="00072194">
        <w:t>Cover</w:t>
      </w:r>
      <w:proofErr w:type="spellEnd"/>
      <w:r w:rsidRPr="00072194">
        <w:t xml:space="preserve"> and Land </w:t>
      </w:r>
      <w:proofErr w:type="spellStart"/>
      <w:r w:rsidRPr="00072194">
        <w:t>Cover</w:t>
      </w:r>
      <w:proofErr w:type="spellEnd"/>
      <w:r w:rsidRPr="00072194">
        <w:t xml:space="preserve"> </w:t>
      </w:r>
      <w:proofErr w:type="spellStart"/>
      <w:r w:rsidRPr="00072194">
        <w:t>Change</w:t>
      </w:r>
      <w:proofErr w:type="spellEnd"/>
      <w:r w:rsidRPr="00072194">
        <w:t xml:space="preserve"> </w:t>
      </w:r>
      <w:proofErr w:type="spellStart"/>
      <w:r w:rsidRPr="00072194">
        <w:t>Products</w:t>
      </w:r>
      <w:proofErr w:type="spellEnd"/>
      <w:r w:rsidRPr="00072194">
        <w:t xml:space="preserve">. In: </w:t>
      </w:r>
      <w:proofErr w:type="spellStart"/>
      <w:r w:rsidRPr="00072194">
        <w:rPr>
          <w:smallCaps/>
        </w:rPr>
        <w:t>Manakos</w:t>
      </w:r>
      <w:proofErr w:type="spellEnd"/>
      <w:r w:rsidRPr="00072194">
        <w:rPr>
          <w:smallCaps/>
        </w:rPr>
        <w:t>, I., Braun, M.</w:t>
      </w:r>
      <w:r w:rsidRPr="00072194">
        <w:t xml:space="preserve"> </w:t>
      </w:r>
      <w:r w:rsidRPr="00072194">
        <w:rPr>
          <w:lang w:val="en-GB"/>
        </w:rPr>
        <w:t>[ed.]</w:t>
      </w:r>
      <w:r w:rsidRPr="00072194">
        <w:t xml:space="preserve">: Land Use and Land </w:t>
      </w:r>
      <w:proofErr w:type="spellStart"/>
      <w:r w:rsidRPr="00072194">
        <w:t>Cver</w:t>
      </w:r>
      <w:proofErr w:type="spellEnd"/>
      <w:r w:rsidRPr="00072194">
        <w:t xml:space="preserve"> </w:t>
      </w:r>
      <w:proofErr w:type="spellStart"/>
      <w:r w:rsidRPr="00072194">
        <w:t>Mapping</w:t>
      </w:r>
      <w:proofErr w:type="spellEnd"/>
      <w:r w:rsidRPr="00072194">
        <w:t xml:space="preserve"> in </w:t>
      </w:r>
      <w:proofErr w:type="spellStart"/>
      <w:r w:rsidRPr="00072194">
        <w:t>Europe</w:t>
      </w:r>
      <w:proofErr w:type="spellEnd"/>
      <w:r w:rsidRPr="00072194">
        <w:t xml:space="preserve">. </w:t>
      </w:r>
      <w:proofErr w:type="spellStart"/>
      <w:r w:rsidRPr="00072194">
        <w:t>Remote</w:t>
      </w:r>
      <w:proofErr w:type="spellEnd"/>
      <w:r w:rsidRPr="00072194">
        <w:t xml:space="preserve"> </w:t>
      </w:r>
      <w:proofErr w:type="spellStart"/>
      <w:r w:rsidRPr="00072194">
        <w:t>Sensing</w:t>
      </w:r>
      <w:proofErr w:type="spellEnd"/>
      <w:r w:rsidRPr="00072194">
        <w:t xml:space="preserve"> and Digital Image </w:t>
      </w:r>
      <w:proofErr w:type="spellStart"/>
      <w:r w:rsidRPr="00072194">
        <w:t>Processing</w:t>
      </w:r>
      <w:proofErr w:type="spellEnd"/>
      <w:r w:rsidRPr="00072194">
        <w:t xml:space="preserve">, ročník 18, </w:t>
      </w:r>
      <w:proofErr w:type="spellStart"/>
      <w:r w:rsidRPr="00072194">
        <w:t>Practices</w:t>
      </w:r>
      <w:proofErr w:type="spellEnd"/>
      <w:r w:rsidRPr="00072194">
        <w:t xml:space="preserve"> </w:t>
      </w:r>
      <w:r w:rsidRPr="00072194">
        <w:rPr>
          <w:lang w:val="en-GB"/>
        </w:rPr>
        <w:t xml:space="preserve">&amp; </w:t>
      </w:r>
      <w:proofErr w:type="spellStart"/>
      <w:r w:rsidRPr="00072194">
        <w:t>Trends</w:t>
      </w:r>
      <w:proofErr w:type="spellEnd"/>
      <w:r w:rsidRPr="00072194">
        <w:t xml:space="preserve">, </w:t>
      </w:r>
      <w:proofErr w:type="spellStart"/>
      <w:r w:rsidRPr="00072194">
        <w:t>Springer</w:t>
      </w:r>
      <w:proofErr w:type="spellEnd"/>
      <w:r w:rsidRPr="00072194">
        <w:t xml:space="preserve"> Science, s. </w:t>
      </w:r>
      <w:proofErr w:type="gramStart"/>
      <w:r w:rsidRPr="00072194">
        <w:t>55 - 74</w:t>
      </w:r>
      <w:proofErr w:type="gramEnd"/>
      <w:r w:rsidRPr="00072194">
        <w:t xml:space="preserve"> </w:t>
      </w:r>
    </w:p>
    <w:p w:rsidR="00E417DA" w:rsidRPr="00072194" w:rsidRDefault="00E417DA" w:rsidP="00E417DA">
      <w:proofErr w:type="spellStart"/>
      <w:r w:rsidRPr="00072194">
        <w:rPr>
          <w:smallCaps/>
        </w:rPr>
        <w:t>Campbell</w:t>
      </w:r>
      <w:proofErr w:type="spellEnd"/>
      <w:r w:rsidRPr="00072194">
        <w:rPr>
          <w:smallCaps/>
        </w:rPr>
        <w:t>, J. M.</w:t>
      </w:r>
      <w:r w:rsidRPr="00072194">
        <w:t xml:space="preserve"> (1996): </w:t>
      </w:r>
      <w:proofErr w:type="spellStart"/>
      <w:r w:rsidRPr="00072194">
        <w:rPr>
          <w:iCs/>
        </w:rPr>
        <w:t>Introduction</w:t>
      </w:r>
      <w:proofErr w:type="spellEnd"/>
      <w:r w:rsidRPr="00072194">
        <w:rPr>
          <w:iCs/>
        </w:rPr>
        <w:t xml:space="preserve"> to </w:t>
      </w:r>
      <w:proofErr w:type="spellStart"/>
      <w:r w:rsidRPr="00072194">
        <w:rPr>
          <w:iCs/>
        </w:rPr>
        <w:t>Remote</w:t>
      </w:r>
      <w:proofErr w:type="spellEnd"/>
      <w:r w:rsidRPr="00072194">
        <w:rPr>
          <w:iCs/>
        </w:rPr>
        <w:t xml:space="preserve"> </w:t>
      </w:r>
      <w:proofErr w:type="spellStart"/>
      <w:r w:rsidRPr="00072194">
        <w:rPr>
          <w:iCs/>
        </w:rPr>
        <w:t>Sensing</w:t>
      </w:r>
      <w:proofErr w:type="spellEnd"/>
      <w:r w:rsidRPr="00072194">
        <w:t xml:space="preserve">. </w:t>
      </w:r>
      <w:proofErr w:type="spellStart"/>
      <w:r w:rsidRPr="00072194">
        <w:t>Taylor</w:t>
      </w:r>
      <w:proofErr w:type="spellEnd"/>
      <w:r w:rsidRPr="00072194">
        <w:t xml:space="preserve"> &amp; Francis. London. 622 s. </w:t>
      </w:r>
    </w:p>
    <w:p w:rsidR="00E417DA" w:rsidRPr="00072194" w:rsidRDefault="00E417DA" w:rsidP="00E417DA">
      <w:pPr>
        <w:rPr>
          <w:lang w:val="en-GB"/>
        </w:rPr>
      </w:pPr>
      <w:r w:rsidRPr="00072194">
        <w:rPr>
          <w:smallCaps/>
        </w:rPr>
        <w:t>Coufalová, T.</w:t>
      </w:r>
      <w:r w:rsidRPr="00072194">
        <w:t xml:space="preserve"> (2012): Změny vegetačního pokryv</w:t>
      </w:r>
      <w:r>
        <w:t xml:space="preserve">u lesních porostů v NP Šumava. </w:t>
      </w:r>
      <w:r w:rsidRPr="00072194">
        <w:t>Bakalářská práce</w:t>
      </w:r>
      <w:r w:rsidRPr="00072194">
        <w:rPr>
          <w:lang w:val="en-GB"/>
        </w:rPr>
        <w:t xml:space="preserve">. </w:t>
      </w:r>
      <w:proofErr w:type="spellStart"/>
      <w:r w:rsidRPr="00072194">
        <w:rPr>
          <w:lang w:val="en-GB"/>
        </w:rPr>
        <w:t>Masarykova</w:t>
      </w:r>
      <w:proofErr w:type="spellEnd"/>
      <w:r w:rsidRPr="00072194">
        <w:t xml:space="preserve"> Univerzita, Brno, 41 s. </w:t>
      </w:r>
      <w:r w:rsidRPr="00072194">
        <w:rPr>
          <w:lang w:val="en-GB"/>
        </w:rPr>
        <w:t>[</w:t>
      </w:r>
      <w:r w:rsidRPr="00072194">
        <w:t>http://is.muni.cz/th/324465/prif_b/ (10. 3. 2016)</w:t>
      </w:r>
      <w:r w:rsidRPr="00072194">
        <w:rPr>
          <w:lang w:val="en-GB"/>
        </w:rPr>
        <w:t>]</w:t>
      </w:r>
    </w:p>
    <w:p w:rsidR="00E417DA" w:rsidRPr="00072194" w:rsidRDefault="00E417DA" w:rsidP="00E417DA">
      <w:proofErr w:type="spellStart"/>
      <w:r w:rsidRPr="00072194">
        <w:rPr>
          <w:smallCaps/>
        </w:rPr>
        <w:t>Crist</w:t>
      </w:r>
      <w:proofErr w:type="spellEnd"/>
      <w:r w:rsidRPr="00072194">
        <w:rPr>
          <w:smallCaps/>
        </w:rPr>
        <w:t xml:space="preserve">, E. P., </w:t>
      </w:r>
      <w:proofErr w:type="spellStart"/>
      <w:r w:rsidRPr="00072194">
        <w:rPr>
          <w:smallCaps/>
        </w:rPr>
        <w:t>Cicone</w:t>
      </w:r>
      <w:proofErr w:type="spellEnd"/>
      <w:r w:rsidRPr="00072194">
        <w:rPr>
          <w:smallCaps/>
        </w:rPr>
        <w:t>, R. C.</w:t>
      </w:r>
      <w:r w:rsidRPr="00072194">
        <w:t xml:space="preserve"> (1984): A </w:t>
      </w:r>
      <w:proofErr w:type="spellStart"/>
      <w:r w:rsidRPr="00072194">
        <w:t>physically-based</w:t>
      </w:r>
      <w:proofErr w:type="spellEnd"/>
      <w:r w:rsidRPr="00072194">
        <w:t xml:space="preserve"> </w:t>
      </w:r>
      <w:proofErr w:type="spellStart"/>
      <w:r w:rsidRPr="00072194">
        <w:t>transformation</w:t>
      </w:r>
      <w:proofErr w:type="spellEnd"/>
      <w:r w:rsidRPr="00072194">
        <w:t xml:space="preserve"> </w:t>
      </w:r>
      <w:proofErr w:type="spellStart"/>
      <w:r w:rsidRPr="00072194">
        <w:t>of</w:t>
      </w:r>
      <w:proofErr w:type="spellEnd"/>
      <w:r w:rsidRPr="00072194">
        <w:t xml:space="preserve"> </w:t>
      </w:r>
      <w:proofErr w:type="spellStart"/>
      <w:r w:rsidRPr="00072194">
        <w:t>Thematic</w:t>
      </w:r>
      <w:proofErr w:type="spellEnd"/>
      <w:r w:rsidRPr="00072194">
        <w:t xml:space="preserve"> </w:t>
      </w:r>
      <w:proofErr w:type="spellStart"/>
      <w:r w:rsidRPr="00072194">
        <w:t>Mapper</w:t>
      </w:r>
      <w:proofErr w:type="spellEnd"/>
      <w:r w:rsidRPr="00072194">
        <w:t xml:space="preserve"> data -- </w:t>
      </w:r>
      <w:proofErr w:type="spellStart"/>
      <w:r w:rsidRPr="00072194">
        <w:t>the</w:t>
      </w:r>
      <w:proofErr w:type="spellEnd"/>
      <w:r w:rsidRPr="00072194">
        <w:t xml:space="preserve"> TM </w:t>
      </w:r>
      <w:proofErr w:type="spellStart"/>
      <w:r w:rsidRPr="00072194">
        <w:t>Tasseled</w:t>
      </w:r>
      <w:proofErr w:type="spellEnd"/>
      <w:r w:rsidRPr="00072194">
        <w:t xml:space="preserve"> Cap, IEEE Trans. on </w:t>
      </w:r>
      <w:proofErr w:type="spellStart"/>
      <w:r w:rsidRPr="00072194">
        <w:t>Geosciences</w:t>
      </w:r>
      <w:proofErr w:type="spellEnd"/>
      <w:r w:rsidRPr="00072194">
        <w:t xml:space="preserve"> and </w:t>
      </w:r>
      <w:proofErr w:type="spellStart"/>
      <w:r w:rsidRPr="00072194">
        <w:t>Remote</w:t>
      </w:r>
      <w:proofErr w:type="spellEnd"/>
      <w:r w:rsidRPr="00072194">
        <w:t xml:space="preserve"> </w:t>
      </w:r>
      <w:proofErr w:type="spellStart"/>
      <w:r w:rsidRPr="00072194">
        <w:t>Sensing</w:t>
      </w:r>
      <w:proofErr w:type="spellEnd"/>
      <w:r w:rsidRPr="00072194">
        <w:t xml:space="preserve">, ročník GE-22, č. 3, s. 256-263. </w:t>
      </w:r>
      <w:r w:rsidRPr="00072194">
        <w:rPr>
          <w:lang w:val="en-GB"/>
        </w:rPr>
        <w:t>[</w:t>
      </w:r>
      <w:r w:rsidRPr="00072194">
        <w:t>http://www.geo.umass.edu/courses/geo594q/Crist1984IEEETasseledCap.pdf</w:t>
      </w:r>
      <w:r>
        <w:t xml:space="preserve"> (12. 4. </w:t>
      </w:r>
      <w:r w:rsidRPr="00072194">
        <w:t>2016)]</w:t>
      </w:r>
    </w:p>
    <w:p w:rsidR="00E417DA" w:rsidRPr="00072194" w:rsidRDefault="00E417DA" w:rsidP="00E417DA">
      <w:r w:rsidRPr="00072194">
        <w:rPr>
          <w:smallCaps/>
        </w:rPr>
        <w:t>Čapek, R.</w:t>
      </w:r>
      <w:r w:rsidRPr="00072194">
        <w:t xml:space="preserve"> (1978): Dálkový průzkum a </w:t>
      </w:r>
      <w:proofErr w:type="spellStart"/>
      <w:r w:rsidRPr="00072194">
        <w:t>fotointerpretace</w:t>
      </w:r>
      <w:proofErr w:type="spellEnd"/>
      <w:r w:rsidRPr="00072194">
        <w:t xml:space="preserve"> z hlediska geografa - I. Univerzita Karlova v Praze, 164 s.</w:t>
      </w:r>
    </w:p>
    <w:p w:rsidR="00E417DA" w:rsidRPr="00072194" w:rsidRDefault="00E417DA" w:rsidP="00E417DA">
      <w:r w:rsidRPr="00072194">
        <w:rPr>
          <w:smallCaps/>
        </w:rPr>
        <w:t>Dobrovolný, P.</w:t>
      </w:r>
      <w:r w:rsidRPr="00072194">
        <w:t xml:space="preserve"> (1998): Dálkový průzkum Země. Digitální zpracování obrazu. 1. vyd., Brno: Masarykova univerzita, 208 s.</w:t>
      </w:r>
    </w:p>
    <w:p w:rsidR="00E417DA" w:rsidRDefault="00E417DA"/>
    <w:sectPr w:rsidR="00E41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0E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511C7066"/>
    <w:multiLevelType w:val="hybridMultilevel"/>
    <w:tmpl w:val="802215D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8"/>
    <w:rsid w:val="00202E60"/>
    <w:rsid w:val="00214E68"/>
    <w:rsid w:val="00E41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BF1"/>
  <w15:chartTrackingRefBased/>
  <w15:docId w15:val="{15650FBE-2518-4674-8199-E8E749C5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uiPriority w:val="9"/>
    <w:qFormat/>
    <w:rsid w:val="00214E68"/>
    <w:pPr>
      <w:keepNext/>
      <w:keepLines/>
      <w:numPr>
        <w:numId w:val="1"/>
      </w:numPr>
      <w:spacing w:before="480" w:after="0" w:line="276" w:lineRule="auto"/>
      <w:jc w:val="both"/>
      <w:outlineLvl w:val="0"/>
    </w:pPr>
    <w:rPr>
      <w:rFonts w:ascii="Times New Roman" w:eastAsia="Times New Roman" w:hAnsi="Times New Roman"/>
      <w:b/>
      <w:bCs/>
      <w:sz w:val="28"/>
      <w:szCs w:val="28"/>
    </w:rPr>
  </w:style>
  <w:style w:type="paragraph" w:styleId="Nadpis2">
    <w:name w:val="heading 2"/>
    <w:basedOn w:val="Normln"/>
    <w:next w:val="Normln"/>
    <w:link w:val="Nadpis2Char"/>
    <w:uiPriority w:val="9"/>
    <w:unhideWhenUsed/>
    <w:qFormat/>
    <w:rsid w:val="00214E68"/>
    <w:pPr>
      <w:keepNext/>
      <w:keepLines/>
      <w:numPr>
        <w:ilvl w:val="1"/>
        <w:numId w:val="1"/>
      </w:numPr>
      <w:spacing w:before="200" w:after="0" w:line="276" w:lineRule="auto"/>
      <w:jc w:val="both"/>
      <w:outlineLvl w:val="1"/>
    </w:pPr>
    <w:rPr>
      <w:rFonts w:ascii="Times New Roman" w:eastAsia="Times New Roman" w:hAnsi="Times New Roman"/>
      <w:b/>
      <w:bCs/>
      <w:sz w:val="28"/>
      <w:szCs w:val="26"/>
    </w:rPr>
  </w:style>
  <w:style w:type="paragraph" w:styleId="Nadpis3">
    <w:name w:val="heading 3"/>
    <w:basedOn w:val="Normln"/>
    <w:next w:val="Normln"/>
    <w:link w:val="Nadpis3Char"/>
    <w:uiPriority w:val="9"/>
    <w:unhideWhenUsed/>
    <w:qFormat/>
    <w:rsid w:val="00214E68"/>
    <w:pPr>
      <w:keepNext/>
      <w:keepLines/>
      <w:numPr>
        <w:ilvl w:val="2"/>
        <w:numId w:val="1"/>
      </w:numPr>
      <w:spacing w:before="200" w:after="0" w:line="276" w:lineRule="auto"/>
      <w:jc w:val="both"/>
      <w:outlineLvl w:val="2"/>
    </w:pPr>
    <w:rPr>
      <w:rFonts w:ascii="Times New Roman" w:eastAsia="Times New Roman" w:hAnsi="Times New Roman"/>
      <w:b/>
      <w:bCs/>
      <w:sz w:val="24"/>
    </w:rPr>
  </w:style>
  <w:style w:type="paragraph" w:styleId="Nadpis4">
    <w:name w:val="heading 4"/>
    <w:basedOn w:val="Normln"/>
    <w:next w:val="Normln"/>
    <w:link w:val="Nadpis4Char"/>
    <w:uiPriority w:val="9"/>
    <w:semiHidden/>
    <w:unhideWhenUsed/>
    <w:qFormat/>
    <w:rsid w:val="00214E68"/>
    <w:pPr>
      <w:keepNext/>
      <w:keepLines/>
      <w:numPr>
        <w:ilvl w:val="3"/>
        <w:numId w:val="1"/>
      </w:numPr>
      <w:spacing w:before="200" w:after="0" w:line="276" w:lineRule="auto"/>
      <w:jc w:val="both"/>
      <w:outlineLvl w:val="3"/>
    </w:pPr>
    <w:rPr>
      <w:rFonts w:ascii="Cambria" w:eastAsia="Times New Roman" w:hAnsi="Cambria"/>
      <w:b/>
      <w:bCs/>
      <w:i/>
      <w:iCs/>
      <w:color w:val="4F81BD"/>
      <w:sz w:val="24"/>
    </w:rPr>
  </w:style>
  <w:style w:type="paragraph" w:styleId="Nadpis5">
    <w:name w:val="heading 5"/>
    <w:basedOn w:val="Normln"/>
    <w:next w:val="Normln"/>
    <w:link w:val="Nadpis5Char"/>
    <w:uiPriority w:val="9"/>
    <w:semiHidden/>
    <w:unhideWhenUsed/>
    <w:qFormat/>
    <w:rsid w:val="00214E68"/>
    <w:pPr>
      <w:keepNext/>
      <w:keepLines/>
      <w:numPr>
        <w:ilvl w:val="4"/>
        <w:numId w:val="1"/>
      </w:numPr>
      <w:spacing w:before="200" w:after="0" w:line="276" w:lineRule="auto"/>
      <w:jc w:val="both"/>
      <w:outlineLvl w:val="4"/>
    </w:pPr>
    <w:rPr>
      <w:rFonts w:ascii="Cambria" w:eastAsia="Times New Roman" w:hAnsi="Cambria"/>
      <w:color w:val="243F60"/>
      <w:sz w:val="24"/>
    </w:rPr>
  </w:style>
  <w:style w:type="paragraph" w:styleId="Nadpis6">
    <w:name w:val="heading 6"/>
    <w:basedOn w:val="Normln"/>
    <w:next w:val="Normln"/>
    <w:link w:val="Nadpis6Char"/>
    <w:uiPriority w:val="9"/>
    <w:semiHidden/>
    <w:unhideWhenUsed/>
    <w:qFormat/>
    <w:rsid w:val="00214E68"/>
    <w:pPr>
      <w:keepNext/>
      <w:keepLines/>
      <w:numPr>
        <w:ilvl w:val="5"/>
        <w:numId w:val="1"/>
      </w:numPr>
      <w:spacing w:before="200" w:after="0" w:line="276" w:lineRule="auto"/>
      <w:jc w:val="both"/>
      <w:outlineLvl w:val="5"/>
    </w:pPr>
    <w:rPr>
      <w:rFonts w:ascii="Cambria" w:eastAsia="Times New Roman" w:hAnsi="Cambria"/>
      <w:i/>
      <w:iCs/>
      <w:color w:val="243F60"/>
      <w:sz w:val="24"/>
    </w:rPr>
  </w:style>
  <w:style w:type="paragraph" w:styleId="Nadpis7">
    <w:name w:val="heading 7"/>
    <w:basedOn w:val="Normln"/>
    <w:next w:val="Normln"/>
    <w:link w:val="Nadpis7Char"/>
    <w:uiPriority w:val="9"/>
    <w:semiHidden/>
    <w:unhideWhenUsed/>
    <w:qFormat/>
    <w:rsid w:val="00214E68"/>
    <w:pPr>
      <w:keepNext/>
      <w:keepLines/>
      <w:numPr>
        <w:ilvl w:val="6"/>
        <w:numId w:val="1"/>
      </w:numPr>
      <w:spacing w:before="200" w:after="0" w:line="276" w:lineRule="auto"/>
      <w:jc w:val="both"/>
      <w:outlineLvl w:val="6"/>
    </w:pPr>
    <w:rPr>
      <w:rFonts w:ascii="Cambria" w:eastAsia="Times New Roman" w:hAnsi="Cambria"/>
      <w:i/>
      <w:iCs/>
      <w:color w:val="404040"/>
      <w:sz w:val="24"/>
    </w:rPr>
  </w:style>
  <w:style w:type="paragraph" w:styleId="Nadpis8">
    <w:name w:val="heading 8"/>
    <w:basedOn w:val="Normln"/>
    <w:next w:val="Normln"/>
    <w:link w:val="Nadpis8Char"/>
    <w:uiPriority w:val="9"/>
    <w:semiHidden/>
    <w:unhideWhenUsed/>
    <w:qFormat/>
    <w:rsid w:val="00214E68"/>
    <w:pPr>
      <w:keepNext/>
      <w:keepLines/>
      <w:numPr>
        <w:ilvl w:val="7"/>
        <w:numId w:val="1"/>
      </w:numPr>
      <w:spacing w:before="200" w:after="0" w:line="276" w:lineRule="auto"/>
      <w:jc w:val="both"/>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214E68"/>
    <w:pPr>
      <w:keepNext/>
      <w:keepLines/>
      <w:numPr>
        <w:ilvl w:val="8"/>
        <w:numId w:val="1"/>
      </w:numPr>
      <w:spacing w:before="200" w:after="0" w:line="276" w:lineRule="auto"/>
      <w:jc w:val="both"/>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4E68"/>
    <w:rPr>
      <w:rFonts w:ascii="Times New Roman" w:eastAsia="Times New Roman" w:hAnsi="Times New Roman"/>
      <w:b/>
      <w:bCs/>
      <w:sz w:val="28"/>
      <w:szCs w:val="28"/>
      <w:lang w:eastAsia="en-US"/>
    </w:rPr>
  </w:style>
  <w:style w:type="character" w:customStyle="1" w:styleId="Nadpis2Char">
    <w:name w:val="Nadpis 2 Char"/>
    <w:basedOn w:val="Standardnpsmoodstavce"/>
    <w:link w:val="Nadpis2"/>
    <w:uiPriority w:val="9"/>
    <w:rsid w:val="00214E68"/>
    <w:rPr>
      <w:rFonts w:ascii="Times New Roman" w:eastAsia="Times New Roman" w:hAnsi="Times New Roman"/>
      <w:b/>
      <w:bCs/>
      <w:sz w:val="28"/>
      <w:szCs w:val="26"/>
      <w:lang w:eastAsia="en-US"/>
    </w:rPr>
  </w:style>
  <w:style w:type="character" w:customStyle="1" w:styleId="Nadpis3Char">
    <w:name w:val="Nadpis 3 Char"/>
    <w:basedOn w:val="Standardnpsmoodstavce"/>
    <w:link w:val="Nadpis3"/>
    <w:uiPriority w:val="9"/>
    <w:rsid w:val="00214E68"/>
    <w:rPr>
      <w:rFonts w:ascii="Times New Roman" w:eastAsia="Times New Roman" w:hAnsi="Times New Roman"/>
      <w:b/>
      <w:bCs/>
      <w:sz w:val="24"/>
      <w:szCs w:val="22"/>
      <w:lang w:eastAsia="en-US"/>
    </w:rPr>
  </w:style>
  <w:style w:type="character" w:customStyle="1" w:styleId="Nadpis4Char">
    <w:name w:val="Nadpis 4 Char"/>
    <w:basedOn w:val="Standardnpsmoodstavce"/>
    <w:link w:val="Nadpis4"/>
    <w:uiPriority w:val="9"/>
    <w:semiHidden/>
    <w:rsid w:val="00214E68"/>
    <w:rPr>
      <w:rFonts w:ascii="Cambria" w:eastAsia="Times New Roman" w:hAnsi="Cambria"/>
      <w:b/>
      <w:bCs/>
      <w:i/>
      <w:iCs/>
      <w:color w:val="4F81BD"/>
      <w:sz w:val="24"/>
      <w:szCs w:val="22"/>
      <w:lang w:eastAsia="en-US"/>
    </w:rPr>
  </w:style>
  <w:style w:type="character" w:customStyle="1" w:styleId="Nadpis5Char">
    <w:name w:val="Nadpis 5 Char"/>
    <w:basedOn w:val="Standardnpsmoodstavce"/>
    <w:link w:val="Nadpis5"/>
    <w:uiPriority w:val="9"/>
    <w:semiHidden/>
    <w:rsid w:val="00214E68"/>
    <w:rPr>
      <w:rFonts w:ascii="Cambria" w:eastAsia="Times New Roman" w:hAnsi="Cambria"/>
      <w:color w:val="243F60"/>
      <w:sz w:val="24"/>
      <w:szCs w:val="22"/>
      <w:lang w:eastAsia="en-US"/>
    </w:rPr>
  </w:style>
  <w:style w:type="character" w:customStyle="1" w:styleId="Nadpis6Char">
    <w:name w:val="Nadpis 6 Char"/>
    <w:basedOn w:val="Standardnpsmoodstavce"/>
    <w:link w:val="Nadpis6"/>
    <w:uiPriority w:val="9"/>
    <w:semiHidden/>
    <w:rsid w:val="00214E68"/>
    <w:rPr>
      <w:rFonts w:ascii="Cambria" w:eastAsia="Times New Roman" w:hAnsi="Cambria"/>
      <w:i/>
      <w:iCs/>
      <w:color w:val="243F60"/>
      <w:sz w:val="24"/>
      <w:szCs w:val="22"/>
      <w:lang w:eastAsia="en-US"/>
    </w:rPr>
  </w:style>
  <w:style w:type="character" w:customStyle="1" w:styleId="Nadpis7Char">
    <w:name w:val="Nadpis 7 Char"/>
    <w:basedOn w:val="Standardnpsmoodstavce"/>
    <w:link w:val="Nadpis7"/>
    <w:uiPriority w:val="9"/>
    <w:semiHidden/>
    <w:rsid w:val="00214E68"/>
    <w:rPr>
      <w:rFonts w:ascii="Cambria" w:eastAsia="Times New Roman" w:hAnsi="Cambria"/>
      <w:i/>
      <w:iCs/>
      <w:color w:val="404040"/>
      <w:sz w:val="24"/>
      <w:szCs w:val="22"/>
      <w:lang w:eastAsia="en-US"/>
    </w:rPr>
  </w:style>
  <w:style w:type="character" w:customStyle="1" w:styleId="Nadpis8Char">
    <w:name w:val="Nadpis 8 Char"/>
    <w:basedOn w:val="Standardnpsmoodstavce"/>
    <w:link w:val="Nadpis8"/>
    <w:uiPriority w:val="9"/>
    <w:semiHidden/>
    <w:rsid w:val="00214E68"/>
    <w:rPr>
      <w:rFonts w:ascii="Cambria" w:eastAsia="Times New Roman" w:hAnsi="Cambria"/>
      <w:color w:val="404040"/>
      <w:lang w:eastAsia="en-US"/>
    </w:rPr>
  </w:style>
  <w:style w:type="character" w:customStyle="1" w:styleId="Nadpis9Char">
    <w:name w:val="Nadpis 9 Char"/>
    <w:basedOn w:val="Standardnpsmoodstavce"/>
    <w:link w:val="Nadpis9"/>
    <w:uiPriority w:val="9"/>
    <w:semiHidden/>
    <w:rsid w:val="00214E68"/>
    <w:rPr>
      <w:rFonts w:ascii="Cambria" w:eastAsia="Times New Roman" w:hAnsi="Cambria"/>
      <w:i/>
      <w:iCs/>
      <w:color w:val="404040"/>
      <w:lang w:eastAsia="en-US"/>
    </w:rPr>
  </w:style>
  <w:style w:type="paragraph" w:styleId="Odstavecseseznamem">
    <w:name w:val="List Paragraph"/>
    <w:basedOn w:val="Normln"/>
    <w:uiPriority w:val="34"/>
    <w:qFormat/>
    <w:rsid w:val="00214E68"/>
    <w:pPr>
      <w:spacing w:after="200" w:line="276" w:lineRule="auto"/>
      <w:ind w:left="720"/>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1610</Words>
  <Characters>9502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Orlíková</dc:creator>
  <cp:keywords/>
  <dc:description/>
  <cp:lastModifiedBy>Lucie Orlíková</cp:lastModifiedBy>
  <cp:revision>3</cp:revision>
  <dcterms:created xsi:type="dcterms:W3CDTF">2018-09-21T09:00:00Z</dcterms:created>
  <dcterms:modified xsi:type="dcterms:W3CDTF">2018-09-21T09:16:00Z</dcterms:modified>
</cp:coreProperties>
</file>